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6B4A" w:rsidRPr="00716B62" w:rsidRDefault="00136B4A" w:rsidP="00136B4A">
      <w:pPr>
        <w:spacing w:after="0" w:line="240" w:lineRule="exact"/>
        <w:ind w:right="-284"/>
        <w:jc w:val="right"/>
        <w:rPr>
          <w:rFonts w:ascii="Fira Sans" w:hAnsi="Fira Sans" w:cs="Arial"/>
          <w:sz w:val="19"/>
          <w:szCs w:val="19"/>
        </w:rPr>
      </w:pPr>
      <w:r w:rsidRPr="00716B62">
        <w:rPr>
          <w:rFonts w:ascii="Fira Sans" w:hAnsi="Fira Sans" w:cs="Arial"/>
          <w:sz w:val="19"/>
          <w:szCs w:val="19"/>
        </w:rPr>
        <w:t xml:space="preserve">Załącznik nr </w:t>
      </w:r>
      <w:r>
        <w:rPr>
          <w:rFonts w:ascii="Fira Sans" w:hAnsi="Fira Sans" w:cs="Arial"/>
          <w:sz w:val="19"/>
          <w:szCs w:val="19"/>
        </w:rPr>
        <w:t>1</w:t>
      </w:r>
      <w:r w:rsidRPr="00716B62">
        <w:rPr>
          <w:rFonts w:ascii="Fira Sans" w:hAnsi="Fira Sans" w:cs="Arial"/>
          <w:sz w:val="19"/>
          <w:szCs w:val="19"/>
        </w:rPr>
        <w:t xml:space="preserve"> do SWZ</w:t>
      </w:r>
    </w:p>
    <w:p w:rsidR="00136B4A" w:rsidRPr="00716B62" w:rsidRDefault="00136B4A" w:rsidP="00136B4A">
      <w:pPr>
        <w:spacing w:after="0" w:line="240" w:lineRule="exact"/>
        <w:ind w:right="-284"/>
        <w:jc w:val="right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numer sprawy: KRK-WAD.271.3.2025</w:t>
      </w:r>
    </w:p>
    <w:p w:rsidR="00136B4A" w:rsidRDefault="00136B4A" w:rsidP="008446AB">
      <w:pPr>
        <w:widowControl w:val="0"/>
        <w:suppressAutoHyphens/>
        <w:spacing w:after="0"/>
        <w:jc w:val="center"/>
        <w:rPr>
          <w:rFonts w:ascii="Fira Sans" w:eastAsia="Times New Roman" w:hAnsi="Fira Sans" w:cs="Calibri"/>
          <w:b/>
          <w:sz w:val="19"/>
          <w:szCs w:val="19"/>
          <w:lang w:eastAsia="ar-SA"/>
        </w:rPr>
      </w:pPr>
    </w:p>
    <w:p w:rsidR="008446AB" w:rsidRPr="008446AB" w:rsidRDefault="008446AB" w:rsidP="008446AB">
      <w:pPr>
        <w:widowControl w:val="0"/>
        <w:suppressAutoHyphens/>
        <w:spacing w:after="0"/>
        <w:jc w:val="center"/>
        <w:rPr>
          <w:rFonts w:ascii="Fira Sans" w:eastAsia="Times New Roman" w:hAnsi="Fira Sans" w:cs="Calibri"/>
          <w:b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b/>
          <w:sz w:val="19"/>
          <w:szCs w:val="19"/>
          <w:lang w:eastAsia="ar-SA"/>
        </w:rPr>
        <w:t>Opis przedmiotu zamówienia</w:t>
      </w:r>
    </w:p>
    <w:p w:rsidR="008446AB" w:rsidRPr="008446AB" w:rsidRDefault="008446AB" w:rsidP="008446AB">
      <w:pPr>
        <w:widowControl w:val="0"/>
        <w:suppressAutoHyphens/>
        <w:spacing w:after="0"/>
        <w:rPr>
          <w:rFonts w:ascii="Fira Sans" w:eastAsia="Times New Roman" w:hAnsi="Fira Sans" w:cs="Calibri"/>
          <w:b/>
          <w:sz w:val="19"/>
          <w:szCs w:val="19"/>
          <w:lang w:eastAsia="ar-SA"/>
        </w:rPr>
      </w:pPr>
    </w:p>
    <w:p w:rsidR="00035A8A" w:rsidRDefault="00035A8A" w:rsidP="00035A8A">
      <w:pPr>
        <w:spacing w:after="0"/>
        <w:jc w:val="both"/>
        <w:rPr>
          <w:rFonts w:ascii="Fira Sans" w:hAnsi="Fira Sans" w:cs="Arial"/>
          <w:sz w:val="19"/>
          <w:szCs w:val="19"/>
        </w:rPr>
      </w:pPr>
      <w:bookmarkStart w:id="0" w:name="_Hlk56157471"/>
      <w:r w:rsidRPr="00035A8A">
        <w:rPr>
          <w:rFonts w:ascii="Fira Sans" w:hAnsi="Fira Sans" w:cs="Arial"/>
          <w:sz w:val="19"/>
          <w:szCs w:val="19"/>
        </w:rPr>
        <w:t xml:space="preserve">Przedmiotem zamówienia jest </w:t>
      </w:r>
      <w:r w:rsidR="00FC6A56">
        <w:rPr>
          <w:rFonts w:ascii="Fira Sans" w:hAnsi="Fira Sans" w:cs="Arial"/>
          <w:sz w:val="19"/>
          <w:szCs w:val="19"/>
        </w:rPr>
        <w:t>z</w:t>
      </w:r>
      <w:r w:rsidRPr="00035A8A">
        <w:rPr>
          <w:rFonts w:ascii="Fira Sans" w:hAnsi="Fira Sans" w:cs="Arial"/>
          <w:sz w:val="19"/>
          <w:szCs w:val="19"/>
        </w:rPr>
        <w:t>akup i dostawa sprzętu komputerowego oraz oprogramowania na potrzeby Urzędu Statystycznego w Krakowie.</w:t>
      </w:r>
    </w:p>
    <w:p w:rsidR="00035A8A" w:rsidRPr="00FC6A56" w:rsidRDefault="00035A8A" w:rsidP="00035A8A">
      <w:pPr>
        <w:spacing w:after="0"/>
        <w:jc w:val="both"/>
        <w:rPr>
          <w:rFonts w:ascii="Fira Sans" w:hAnsi="Fira Sans" w:cs="Arial"/>
          <w:sz w:val="19"/>
          <w:szCs w:val="19"/>
        </w:rPr>
      </w:pPr>
      <w:r w:rsidRPr="00FC6A56">
        <w:rPr>
          <w:rFonts w:ascii="Fira Sans" w:hAnsi="Fira Sans" w:cs="Arial"/>
          <w:sz w:val="19"/>
          <w:szCs w:val="19"/>
        </w:rPr>
        <w:t>Zamawiający dopuszcza składanie ofert częściowych zgodnie z poniższym podziałem:</w:t>
      </w:r>
    </w:p>
    <w:p w:rsidR="00035A8A" w:rsidRPr="00673DF5" w:rsidRDefault="00035A8A" w:rsidP="008F72FA">
      <w:pPr>
        <w:pStyle w:val="Akapitzlist"/>
        <w:spacing w:line="276" w:lineRule="auto"/>
        <w:ind w:left="0"/>
        <w:jc w:val="both"/>
        <w:rPr>
          <w:rFonts w:ascii="Fira Sans" w:hAnsi="Fira Sans" w:cs="Arial"/>
          <w:sz w:val="19"/>
          <w:szCs w:val="19"/>
        </w:rPr>
      </w:pPr>
      <w:r w:rsidRPr="00FC6A56">
        <w:rPr>
          <w:rFonts w:ascii="Fira Sans" w:hAnsi="Fira Sans" w:cs="Arial"/>
          <w:b/>
          <w:sz w:val="19"/>
          <w:szCs w:val="19"/>
        </w:rPr>
        <w:t>- Część I</w:t>
      </w:r>
      <w:r w:rsidR="008F72FA" w:rsidRPr="00FC6A56">
        <w:rPr>
          <w:rFonts w:ascii="Fira Sans" w:hAnsi="Fira Sans" w:cs="Arial"/>
          <w:b/>
          <w:sz w:val="19"/>
          <w:szCs w:val="19"/>
        </w:rPr>
        <w:t xml:space="preserve"> </w:t>
      </w:r>
      <w:r w:rsidRPr="00FC6A56">
        <w:rPr>
          <w:rFonts w:ascii="Fira Sans" w:hAnsi="Fira Sans" w:cs="Arial"/>
          <w:b/>
          <w:sz w:val="19"/>
          <w:szCs w:val="19"/>
        </w:rPr>
        <w:t>zamówienia:</w:t>
      </w:r>
      <w:r w:rsidRPr="00673DF5">
        <w:rPr>
          <w:rFonts w:ascii="Fira Sans" w:hAnsi="Fira Sans" w:cs="Arial"/>
          <w:sz w:val="19"/>
          <w:szCs w:val="19"/>
        </w:rPr>
        <w:t xml:space="preserve"> </w:t>
      </w:r>
      <w:bookmarkStart w:id="1" w:name="_Hlk213307096"/>
      <w:r w:rsidRPr="00673DF5">
        <w:rPr>
          <w:rFonts w:ascii="Fira Sans" w:hAnsi="Fira Sans" w:cs="Arial"/>
          <w:sz w:val="19"/>
          <w:szCs w:val="19"/>
        </w:rPr>
        <w:t xml:space="preserve">Zakup i dostawa </w:t>
      </w:r>
      <w:r w:rsidRPr="00A70A8D">
        <w:rPr>
          <w:rFonts w:ascii="Fira Sans" w:hAnsi="Fira Sans" w:cs="Arial"/>
          <w:sz w:val="19"/>
          <w:szCs w:val="19"/>
        </w:rPr>
        <w:t>35 szt. komputerów</w:t>
      </w:r>
      <w:r w:rsidRPr="00673DF5">
        <w:rPr>
          <w:rFonts w:ascii="Fira Sans" w:hAnsi="Fira Sans" w:cs="Arial"/>
          <w:sz w:val="19"/>
          <w:szCs w:val="19"/>
        </w:rPr>
        <w:t xml:space="preserve"> stacjonarnych oraz </w:t>
      </w:r>
      <w:r>
        <w:rPr>
          <w:rFonts w:ascii="Fira Sans" w:hAnsi="Fira Sans" w:cs="Arial"/>
          <w:sz w:val="19"/>
          <w:szCs w:val="19"/>
        </w:rPr>
        <w:t xml:space="preserve">5 szt. </w:t>
      </w:r>
      <w:r w:rsidRPr="00673DF5">
        <w:rPr>
          <w:rFonts w:ascii="Fira Sans" w:hAnsi="Fira Sans" w:cs="Arial"/>
          <w:sz w:val="19"/>
          <w:szCs w:val="19"/>
        </w:rPr>
        <w:t>monitorów</w:t>
      </w:r>
      <w:r>
        <w:rPr>
          <w:rFonts w:ascii="Fira Sans" w:hAnsi="Fira Sans" w:cs="Arial"/>
          <w:sz w:val="19"/>
          <w:szCs w:val="19"/>
        </w:rPr>
        <w:t xml:space="preserve"> </w:t>
      </w:r>
      <w:r w:rsidR="008F72FA">
        <w:rPr>
          <w:rFonts w:ascii="Fira Sans" w:hAnsi="Fira Sans" w:cs="Arial"/>
          <w:sz w:val="19"/>
          <w:szCs w:val="19"/>
        </w:rPr>
        <w:t>p</w:t>
      </w:r>
      <w:r>
        <w:rPr>
          <w:rFonts w:ascii="Fira Sans" w:hAnsi="Fira Sans" w:cs="Arial"/>
          <w:sz w:val="19"/>
          <w:szCs w:val="19"/>
        </w:rPr>
        <w:t>anoramicznych Typ 1 oraz 45 szt. monitorów panoramicznych Typ 2</w:t>
      </w:r>
      <w:bookmarkEnd w:id="1"/>
      <w:r>
        <w:rPr>
          <w:rFonts w:ascii="Fira Sans" w:hAnsi="Fira Sans" w:cs="Arial"/>
          <w:sz w:val="19"/>
          <w:szCs w:val="19"/>
        </w:rPr>
        <w:t>.</w:t>
      </w:r>
    </w:p>
    <w:p w:rsidR="00035A8A" w:rsidRDefault="00035A8A" w:rsidP="008F72FA">
      <w:pPr>
        <w:pStyle w:val="Akapitzlist"/>
        <w:spacing w:line="276" w:lineRule="auto"/>
        <w:ind w:left="426" w:hanging="425"/>
        <w:rPr>
          <w:rFonts w:ascii="Fira Sans" w:hAnsi="Fira Sans" w:cs="Arial"/>
          <w:sz w:val="19"/>
          <w:szCs w:val="19"/>
        </w:rPr>
      </w:pPr>
      <w:r w:rsidRPr="00FC6A56">
        <w:rPr>
          <w:rFonts w:ascii="Fira Sans" w:hAnsi="Fira Sans" w:cs="Arial"/>
          <w:b/>
          <w:sz w:val="19"/>
          <w:szCs w:val="19"/>
        </w:rPr>
        <w:t>- Część II zamówienia:</w:t>
      </w:r>
      <w:r w:rsidRPr="00673DF5">
        <w:rPr>
          <w:rFonts w:ascii="Fira Sans" w:hAnsi="Fira Sans" w:cs="Arial"/>
          <w:sz w:val="19"/>
          <w:szCs w:val="19"/>
        </w:rPr>
        <w:t xml:space="preserve"> Zakup i </w:t>
      </w:r>
      <w:r w:rsidRPr="00A70A8D">
        <w:rPr>
          <w:rFonts w:ascii="Fira Sans" w:hAnsi="Fira Sans" w:cs="Arial"/>
          <w:sz w:val="19"/>
          <w:szCs w:val="19"/>
        </w:rPr>
        <w:t>dostawa 34 szt. komputerów</w:t>
      </w:r>
      <w:r w:rsidRPr="00673DF5">
        <w:rPr>
          <w:rFonts w:ascii="Fira Sans" w:hAnsi="Fira Sans" w:cs="Arial"/>
          <w:sz w:val="19"/>
          <w:szCs w:val="19"/>
        </w:rPr>
        <w:t xml:space="preserve"> przenośnych</w:t>
      </w:r>
      <w:r>
        <w:rPr>
          <w:rFonts w:ascii="Fira Sans" w:hAnsi="Fira Sans" w:cs="Arial"/>
          <w:sz w:val="19"/>
          <w:szCs w:val="19"/>
        </w:rPr>
        <w:t>.</w:t>
      </w:r>
    </w:p>
    <w:p w:rsidR="0023780D" w:rsidRPr="00FC6A56" w:rsidRDefault="0023780D" w:rsidP="0023780D">
      <w:pPr>
        <w:pStyle w:val="Akapitzlist"/>
        <w:spacing w:line="276" w:lineRule="auto"/>
        <w:ind w:left="426" w:hanging="425"/>
        <w:rPr>
          <w:rFonts w:ascii="Fira Sans" w:hAnsi="Fira Sans" w:cs="Arial"/>
          <w:sz w:val="19"/>
          <w:szCs w:val="19"/>
        </w:rPr>
      </w:pPr>
      <w:r w:rsidRPr="00FC6A56">
        <w:rPr>
          <w:rFonts w:ascii="Fira Sans" w:hAnsi="Fira Sans" w:cs="Arial"/>
          <w:b/>
          <w:sz w:val="19"/>
          <w:szCs w:val="19"/>
        </w:rPr>
        <w:t>- Część III zamówienia:</w:t>
      </w:r>
      <w:r w:rsidRPr="00673DF5">
        <w:rPr>
          <w:rFonts w:ascii="Fira Sans" w:hAnsi="Fira Sans" w:cs="Arial"/>
          <w:sz w:val="19"/>
          <w:szCs w:val="19"/>
        </w:rPr>
        <w:t xml:space="preserve"> Zakup i </w:t>
      </w:r>
      <w:r w:rsidRPr="00A70A8D">
        <w:rPr>
          <w:rFonts w:ascii="Fira Sans" w:hAnsi="Fira Sans" w:cs="Arial"/>
          <w:sz w:val="19"/>
          <w:szCs w:val="19"/>
        </w:rPr>
        <w:t xml:space="preserve">dostawa </w:t>
      </w:r>
      <w:r w:rsidR="003D5B85">
        <w:rPr>
          <w:rFonts w:ascii="Fira Sans" w:hAnsi="Fira Sans" w:cs="Arial"/>
          <w:sz w:val="19"/>
          <w:szCs w:val="19"/>
        </w:rPr>
        <w:t>21</w:t>
      </w:r>
      <w:r w:rsidRPr="00FC6A56">
        <w:rPr>
          <w:rFonts w:ascii="Fira Sans" w:hAnsi="Fira Sans" w:cs="Arial"/>
          <w:sz w:val="19"/>
          <w:szCs w:val="19"/>
        </w:rPr>
        <w:t xml:space="preserve"> szt. licencji oprogramowania specjalistyczne</w:t>
      </w:r>
      <w:r w:rsidR="005E2A00">
        <w:rPr>
          <w:rFonts w:ascii="Fira Sans" w:hAnsi="Fira Sans" w:cs="Arial"/>
          <w:sz w:val="19"/>
          <w:szCs w:val="19"/>
        </w:rPr>
        <w:t>go</w:t>
      </w:r>
      <w:r w:rsidRPr="00FC6A56">
        <w:rPr>
          <w:rFonts w:ascii="Fira Sans" w:hAnsi="Fira Sans" w:cs="Arial"/>
          <w:sz w:val="19"/>
          <w:szCs w:val="19"/>
        </w:rPr>
        <w:t>.</w:t>
      </w:r>
    </w:p>
    <w:p w:rsidR="0023780D" w:rsidRDefault="0023780D" w:rsidP="0023780D">
      <w:pPr>
        <w:pStyle w:val="Akapitzlist"/>
        <w:spacing w:line="276" w:lineRule="auto"/>
        <w:ind w:left="426" w:hanging="425"/>
        <w:rPr>
          <w:rFonts w:ascii="Fira Sans" w:hAnsi="Fira Sans" w:cs="Arial"/>
          <w:sz w:val="19"/>
          <w:szCs w:val="19"/>
        </w:rPr>
      </w:pPr>
      <w:r w:rsidRPr="00FC6A56">
        <w:rPr>
          <w:rFonts w:ascii="Fira Sans" w:hAnsi="Fira Sans" w:cs="Arial"/>
          <w:b/>
          <w:sz w:val="19"/>
          <w:szCs w:val="19"/>
        </w:rPr>
        <w:t>- Część IV zamówienia:</w:t>
      </w:r>
      <w:r w:rsidRPr="00FC6A56">
        <w:rPr>
          <w:rFonts w:ascii="Fira Sans" w:hAnsi="Fira Sans" w:cs="Arial"/>
          <w:sz w:val="19"/>
          <w:szCs w:val="19"/>
        </w:rPr>
        <w:t xml:space="preserve"> Zakup i dostawa 1</w:t>
      </w:r>
      <w:r w:rsidR="003D5B85">
        <w:rPr>
          <w:rFonts w:ascii="Fira Sans" w:hAnsi="Fira Sans" w:cs="Arial"/>
          <w:sz w:val="19"/>
          <w:szCs w:val="19"/>
        </w:rPr>
        <w:t>60</w:t>
      </w:r>
      <w:r w:rsidRPr="00FC6A56">
        <w:rPr>
          <w:rFonts w:ascii="Fira Sans" w:hAnsi="Fira Sans" w:cs="Arial"/>
          <w:sz w:val="19"/>
          <w:szCs w:val="19"/>
        </w:rPr>
        <w:t xml:space="preserve"> szt. licencji oprogramowania biurowego</w:t>
      </w:r>
      <w:r>
        <w:rPr>
          <w:rFonts w:ascii="Fira Sans" w:hAnsi="Fira Sans" w:cs="Arial"/>
          <w:sz w:val="19"/>
          <w:szCs w:val="19"/>
        </w:rPr>
        <w:t>.</w:t>
      </w:r>
    </w:p>
    <w:p w:rsidR="0023780D" w:rsidRPr="008446AB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 w:rsidRPr="008F1AC8">
        <w:rPr>
          <w:rFonts w:ascii="Fira Sans" w:hAnsi="Fira Sans" w:cs="Arial"/>
          <w:sz w:val="19"/>
          <w:szCs w:val="19"/>
        </w:rPr>
        <w:t>Zamawiający może złożyć ofertę w odniesieniu do wszystkich części zamówienia. Zamawiający nie</w:t>
      </w:r>
      <w:r>
        <w:rPr>
          <w:rFonts w:ascii="Fira Sans" w:hAnsi="Fira Sans" w:cs="Arial"/>
          <w:sz w:val="19"/>
          <w:szCs w:val="19"/>
        </w:rPr>
        <w:t xml:space="preserve"> </w:t>
      </w:r>
      <w:r w:rsidRPr="008F1AC8">
        <w:rPr>
          <w:rFonts w:ascii="Fira Sans" w:hAnsi="Fira Sans" w:cs="Arial"/>
          <w:sz w:val="19"/>
          <w:szCs w:val="19"/>
        </w:rPr>
        <w:t xml:space="preserve">ogranicza liczby części zamówienia, których może udzielić jednemu </w:t>
      </w:r>
      <w:r>
        <w:rPr>
          <w:rFonts w:ascii="Fira Sans" w:hAnsi="Fira Sans" w:cs="Arial"/>
          <w:sz w:val="19"/>
          <w:szCs w:val="19"/>
        </w:rPr>
        <w:t>wykonawcy</w:t>
      </w:r>
      <w:r w:rsidRPr="008F1AC8">
        <w:rPr>
          <w:rFonts w:ascii="Fira Sans" w:hAnsi="Fira Sans" w:cs="Arial"/>
          <w:sz w:val="19"/>
          <w:szCs w:val="19"/>
        </w:rPr>
        <w:t>.</w:t>
      </w:r>
      <w:r>
        <w:rPr>
          <w:rFonts w:ascii="Fira Sans" w:hAnsi="Fira Sans" w:cs="Arial"/>
          <w:sz w:val="19"/>
          <w:szCs w:val="19"/>
        </w:rPr>
        <w:t xml:space="preserve"> </w:t>
      </w:r>
      <w:r w:rsidRPr="008446AB">
        <w:rPr>
          <w:rFonts w:ascii="Fira Sans" w:eastAsia="Times New Roman" w:hAnsi="Fira Sans" w:cs="Calibri"/>
          <w:sz w:val="19"/>
          <w:szCs w:val="19"/>
        </w:rPr>
        <w:t xml:space="preserve">Przedmiotem zamówienia jest </w:t>
      </w:r>
      <w:r>
        <w:rPr>
          <w:rFonts w:ascii="Fira Sans" w:eastAsia="Times New Roman" w:hAnsi="Fira Sans" w:cs="Calibri"/>
          <w:sz w:val="19"/>
          <w:szCs w:val="19"/>
        </w:rPr>
        <w:t xml:space="preserve">zakup i </w:t>
      </w:r>
      <w:r w:rsidRPr="008446AB">
        <w:rPr>
          <w:rFonts w:ascii="Fira Sans" w:eastAsia="Times New Roman" w:hAnsi="Fira Sans" w:cs="Calibri"/>
          <w:sz w:val="19"/>
          <w:szCs w:val="19"/>
        </w:rPr>
        <w:t>dostawa sprzętu komputerowego</w:t>
      </w:r>
      <w:r>
        <w:rPr>
          <w:rFonts w:ascii="Fira Sans" w:eastAsia="Times New Roman" w:hAnsi="Fira Sans" w:cs="Calibri"/>
          <w:sz w:val="19"/>
          <w:szCs w:val="19"/>
        </w:rPr>
        <w:t>,</w:t>
      </w:r>
      <w:r w:rsidRPr="008446AB">
        <w:rPr>
          <w:rFonts w:ascii="Fira Sans" w:eastAsia="Times New Roman" w:hAnsi="Fira Sans" w:cs="Calibri"/>
          <w:sz w:val="19"/>
          <w:szCs w:val="19"/>
        </w:rPr>
        <w:t xml:space="preserve"> udzielenie </w:t>
      </w:r>
      <w:r>
        <w:rPr>
          <w:rFonts w:ascii="Fira Sans" w:eastAsia="Times New Roman" w:hAnsi="Fira Sans" w:cs="Calibri"/>
          <w:sz w:val="19"/>
          <w:szCs w:val="19"/>
        </w:rPr>
        <w:t>gwarancji na dostarczony sprzęt oraz zakup licencji na oprogramowanie,</w:t>
      </w:r>
      <w:r w:rsidRPr="008446AB">
        <w:rPr>
          <w:rFonts w:ascii="Fira Sans" w:eastAsia="Times New Roman" w:hAnsi="Fira Sans" w:cs="Calibri"/>
          <w:sz w:val="19"/>
          <w:szCs w:val="19"/>
        </w:rPr>
        <w:t xml:space="preserve"> w tym:</w:t>
      </w:r>
    </w:p>
    <w:p w:rsidR="0023780D" w:rsidRPr="00FC6A56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left="284"/>
        <w:textAlignment w:val="baseline"/>
        <w:rPr>
          <w:rFonts w:ascii="Fira Sans" w:eastAsia="Times New Roman" w:hAnsi="Fira Sans" w:cs="Calibri"/>
          <w:b/>
          <w:sz w:val="19"/>
          <w:szCs w:val="19"/>
        </w:rPr>
      </w:pPr>
      <w:r w:rsidRPr="00FC6A56">
        <w:rPr>
          <w:rFonts w:ascii="Fira Sans" w:eastAsia="Times New Roman" w:hAnsi="Fira Sans" w:cs="Calibri"/>
          <w:b/>
          <w:sz w:val="19"/>
          <w:szCs w:val="19"/>
        </w:rPr>
        <w:t>Część I.</w:t>
      </w:r>
    </w:p>
    <w:p w:rsidR="0023780D" w:rsidRPr="00E06561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left="709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 w:rsidRPr="00E06561">
        <w:rPr>
          <w:rFonts w:ascii="Fira Sans" w:eastAsia="Times New Roman" w:hAnsi="Fira Sans" w:cs="Calibri"/>
          <w:sz w:val="19"/>
          <w:szCs w:val="19"/>
        </w:rPr>
        <w:t>a) Komputer stacjonarny</w:t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 xml:space="preserve">     </w:t>
      </w:r>
      <w:r w:rsidRPr="00E06561">
        <w:rPr>
          <w:rFonts w:ascii="Fira Sans" w:eastAsia="Times New Roman" w:hAnsi="Fira Sans" w:cs="Calibri"/>
          <w:sz w:val="19"/>
          <w:szCs w:val="19"/>
        </w:rPr>
        <w:t>- 3</w:t>
      </w:r>
      <w:r>
        <w:rPr>
          <w:rFonts w:ascii="Fira Sans" w:eastAsia="Times New Roman" w:hAnsi="Fira Sans" w:cs="Calibri"/>
          <w:sz w:val="19"/>
          <w:szCs w:val="19"/>
        </w:rPr>
        <w:t>5</w:t>
      </w:r>
      <w:r w:rsidRPr="00E06561">
        <w:rPr>
          <w:rFonts w:ascii="Fira Sans" w:eastAsia="Times New Roman" w:hAnsi="Fira Sans" w:cs="Calibri"/>
          <w:sz w:val="19"/>
          <w:szCs w:val="19"/>
        </w:rPr>
        <w:t xml:space="preserve"> sztuk</w:t>
      </w:r>
    </w:p>
    <w:p w:rsidR="0023780D" w:rsidRPr="00E06561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left="709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 w:rsidRPr="00E06561">
        <w:rPr>
          <w:rFonts w:ascii="Fira Sans" w:eastAsia="Times New Roman" w:hAnsi="Fira Sans" w:cs="Calibri"/>
          <w:sz w:val="19"/>
          <w:szCs w:val="19"/>
        </w:rPr>
        <w:t xml:space="preserve">b) Monitor panoramiczny </w:t>
      </w:r>
      <w:r>
        <w:rPr>
          <w:rFonts w:ascii="Fira Sans" w:eastAsia="Times New Roman" w:hAnsi="Fira Sans" w:cs="Calibri"/>
          <w:sz w:val="19"/>
          <w:szCs w:val="19"/>
        </w:rPr>
        <w:t>T</w:t>
      </w:r>
      <w:r w:rsidRPr="00E06561">
        <w:rPr>
          <w:rFonts w:ascii="Fira Sans" w:eastAsia="Times New Roman" w:hAnsi="Fira Sans" w:cs="Calibri"/>
          <w:sz w:val="19"/>
          <w:szCs w:val="19"/>
        </w:rPr>
        <w:t>yp 1</w:t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 xml:space="preserve">       </w:t>
      </w:r>
      <w:r w:rsidRPr="00E06561">
        <w:rPr>
          <w:rFonts w:ascii="Fira Sans" w:eastAsia="Times New Roman" w:hAnsi="Fira Sans" w:cs="Calibri"/>
          <w:sz w:val="19"/>
          <w:szCs w:val="19"/>
        </w:rPr>
        <w:t>- 5 sztuk</w:t>
      </w:r>
    </w:p>
    <w:p w:rsidR="0023780D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left="709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 w:rsidRPr="00E06561">
        <w:rPr>
          <w:rFonts w:ascii="Fira Sans" w:eastAsia="Times New Roman" w:hAnsi="Fira Sans" w:cs="Calibri"/>
          <w:sz w:val="19"/>
          <w:szCs w:val="19"/>
        </w:rPr>
        <w:t xml:space="preserve">c) Monitor panoramiczny </w:t>
      </w:r>
      <w:r>
        <w:rPr>
          <w:rFonts w:ascii="Fira Sans" w:eastAsia="Times New Roman" w:hAnsi="Fira Sans" w:cs="Calibri"/>
          <w:sz w:val="19"/>
          <w:szCs w:val="19"/>
        </w:rPr>
        <w:t>T</w:t>
      </w:r>
      <w:r w:rsidRPr="00E06561">
        <w:rPr>
          <w:rFonts w:ascii="Fira Sans" w:eastAsia="Times New Roman" w:hAnsi="Fira Sans" w:cs="Calibri"/>
          <w:sz w:val="19"/>
          <w:szCs w:val="19"/>
        </w:rPr>
        <w:t>yp 2</w:t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 w:rsidRPr="00E06561"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 xml:space="preserve">     </w:t>
      </w:r>
      <w:r w:rsidRPr="00E06561">
        <w:rPr>
          <w:rFonts w:ascii="Fira Sans" w:eastAsia="Times New Roman" w:hAnsi="Fira Sans" w:cs="Calibri"/>
          <w:sz w:val="19"/>
          <w:szCs w:val="19"/>
        </w:rPr>
        <w:t xml:space="preserve">- </w:t>
      </w:r>
      <w:r>
        <w:rPr>
          <w:rFonts w:ascii="Fira Sans" w:eastAsia="Times New Roman" w:hAnsi="Fira Sans" w:cs="Calibri"/>
          <w:sz w:val="19"/>
          <w:szCs w:val="19"/>
        </w:rPr>
        <w:t>45</w:t>
      </w:r>
      <w:r w:rsidRPr="00E06561">
        <w:rPr>
          <w:rFonts w:ascii="Fira Sans" w:eastAsia="Times New Roman" w:hAnsi="Fira Sans" w:cs="Calibri"/>
          <w:sz w:val="19"/>
          <w:szCs w:val="19"/>
        </w:rPr>
        <w:t xml:space="preserve"> sztuk</w:t>
      </w:r>
    </w:p>
    <w:p w:rsidR="0023780D" w:rsidRPr="00FC6A56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firstLine="284"/>
        <w:jc w:val="both"/>
        <w:textAlignment w:val="baseline"/>
        <w:rPr>
          <w:rFonts w:ascii="Fira Sans" w:eastAsia="Times New Roman" w:hAnsi="Fira Sans" w:cs="Calibri"/>
          <w:b/>
          <w:sz w:val="19"/>
          <w:szCs w:val="19"/>
        </w:rPr>
      </w:pPr>
      <w:r w:rsidRPr="00FC6A56">
        <w:rPr>
          <w:rFonts w:ascii="Fira Sans" w:eastAsia="Times New Roman" w:hAnsi="Fira Sans" w:cs="Calibri"/>
          <w:b/>
          <w:sz w:val="19"/>
          <w:szCs w:val="19"/>
        </w:rPr>
        <w:t>Część II.</w:t>
      </w:r>
    </w:p>
    <w:p w:rsidR="0023780D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left="284" w:firstLine="424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>
        <w:rPr>
          <w:rFonts w:ascii="Fira Sans" w:eastAsia="Times New Roman" w:hAnsi="Fira Sans" w:cs="Calibri"/>
          <w:sz w:val="19"/>
          <w:szCs w:val="19"/>
        </w:rPr>
        <w:t>Komputer przenośny</w:t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  <w:t xml:space="preserve">     - 34 sztuk</w:t>
      </w:r>
      <w:r w:rsidR="005E2A00">
        <w:rPr>
          <w:rFonts w:ascii="Fira Sans" w:eastAsia="Times New Roman" w:hAnsi="Fira Sans" w:cs="Calibri"/>
          <w:sz w:val="19"/>
          <w:szCs w:val="19"/>
        </w:rPr>
        <w:t>i</w:t>
      </w:r>
    </w:p>
    <w:p w:rsidR="0023780D" w:rsidRPr="00FC6A56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firstLine="284"/>
        <w:jc w:val="both"/>
        <w:textAlignment w:val="baseline"/>
        <w:rPr>
          <w:rFonts w:ascii="Fira Sans" w:eastAsia="Times New Roman" w:hAnsi="Fira Sans" w:cs="Calibri"/>
          <w:b/>
          <w:sz w:val="19"/>
          <w:szCs w:val="19"/>
        </w:rPr>
      </w:pPr>
      <w:r w:rsidRPr="00FC6A56">
        <w:rPr>
          <w:rFonts w:ascii="Fira Sans" w:eastAsia="Times New Roman" w:hAnsi="Fira Sans" w:cs="Calibri"/>
          <w:b/>
          <w:sz w:val="19"/>
          <w:szCs w:val="19"/>
        </w:rPr>
        <w:t>Część III.</w:t>
      </w:r>
    </w:p>
    <w:p w:rsidR="0023780D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left="284" w:firstLine="424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>
        <w:rPr>
          <w:rFonts w:ascii="Fira Sans" w:eastAsia="Times New Roman" w:hAnsi="Fira Sans" w:cs="Calibri"/>
          <w:sz w:val="19"/>
          <w:szCs w:val="19"/>
        </w:rPr>
        <w:t xml:space="preserve">a) </w:t>
      </w:r>
      <w:r w:rsidRPr="00041DEC">
        <w:rPr>
          <w:rFonts w:ascii="Fira Sans" w:eastAsia="Times New Roman" w:hAnsi="Fira Sans" w:cs="Calibri"/>
          <w:sz w:val="19"/>
          <w:szCs w:val="19"/>
        </w:rPr>
        <w:t>Licencja na oprogramowanie do projektowania grafiki wektorowej</w:t>
      </w:r>
      <w:r>
        <w:rPr>
          <w:rFonts w:ascii="Fira Sans" w:eastAsia="Times New Roman" w:hAnsi="Fira Sans" w:cs="Calibri"/>
          <w:sz w:val="19"/>
          <w:szCs w:val="19"/>
        </w:rPr>
        <w:t xml:space="preserve"> </w:t>
      </w:r>
      <w:r>
        <w:rPr>
          <w:rFonts w:ascii="Fira Sans" w:eastAsia="Times New Roman" w:hAnsi="Fira Sans" w:cs="Calibri"/>
          <w:sz w:val="19"/>
          <w:szCs w:val="19"/>
        </w:rPr>
        <w:tab/>
      </w:r>
      <w:r>
        <w:rPr>
          <w:rFonts w:ascii="Fira Sans" w:eastAsia="Times New Roman" w:hAnsi="Fira Sans" w:cs="Calibri"/>
          <w:sz w:val="19"/>
          <w:szCs w:val="19"/>
        </w:rPr>
        <w:tab/>
        <w:t xml:space="preserve">       - </w:t>
      </w:r>
      <w:r w:rsidR="00BA47AC">
        <w:rPr>
          <w:rFonts w:ascii="Fira Sans" w:eastAsia="Times New Roman" w:hAnsi="Fira Sans" w:cs="Calibri"/>
          <w:sz w:val="19"/>
          <w:szCs w:val="19"/>
        </w:rPr>
        <w:t>4</w:t>
      </w:r>
      <w:r>
        <w:rPr>
          <w:rFonts w:ascii="Fira Sans" w:eastAsia="Times New Roman" w:hAnsi="Fira Sans" w:cs="Calibri"/>
          <w:sz w:val="19"/>
          <w:szCs w:val="19"/>
        </w:rPr>
        <w:t xml:space="preserve"> sztuk</w:t>
      </w:r>
      <w:r w:rsidR="00D47E49">
        <w:rPr>
          <w:rFonts w:ascii="Fira Sans" w:eastAsia="Times New Roman" w:hAnsi="Fira Sans" w:cs="Calibri"/>
          <w:sz w:val="19"/>
          <w:szCs w:val="19"/>
        </w:rPr>
        <w:t>i</w:t>
      </w:r>
    </w:p>
    <w:p w:rsidR="0023780D" w:rsidRDefault="0023780D" w:rsidP="003D5B85">
      <w:pPr>
        <w:widowControl w:val="0"/>
        <w:overflowPunct w:val="0"/>
        <w:autoSpaceDE w:val="0"/>
        <w:autoSpaceDN w:val="0"/>
        <w:adjustRightInd w:val="0"/>
        <w:spacing w:after="0"/>
        <w:ind w:left="284" w:firstLine="424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>
        <w:rPr>
          <w:rFonts w:ascii="Fira Sans" w:eastAsia="Times New Roman" w:hAnsi="Fira Sans" w:cs="Calibri"/>
          <w:sz w:val="19"/>
          <w:szCs w:val="19"/>
        </w:rPr>
        <w:t xml:space="preserve">b) </w:t>
      </w:r>
      <w:r w:rsidR="003D5B85" w:rsidRPr="00B76AC2">
        <w:rPr>
          <w:rFonts w:ascii="Fira Sans" w:eastAsia="Times New Roman" w:hAnsi="Fira Sans" w:cs="Calibri"/>
          <w:sz w:val="19"/>
          <w:szCs w:val="19"/>
        </w:rPr>
        <w:t>Licencja na oprogramowanie do kompleksowej pracy z dokumentami PDF</w:t>
      </w:r>
      <w:r w:rsidR="003D5B85">
        <w:rPr>
          <w:rFonts w:ascii="Fira Sans" w:eastAsia="Times New Roman" w:hAnsi="Fira Sans" w:cs="Calibri"/>
          <w:sz w:val="19"/>
          <w:szCs w:val="19"/>
        </w:rPr>
        <w:t xml:space="preserve">    </w:t>
      </w:r>
      <w:r w:rsidR="003D5B85">
        <w:rPr>
          <w:rFonts w:ascii="Fira Sans" w:eastAsia="Times New Roman" w:hAnsi="Fira Sans" w:cs="Calibri"/>
          <w:sz w:val="19"/>
          <w:szCs w:val="19"/>
        </w:rPr>
        <w:tab/>
        <w:t xml:space="preserve">       -</w:t>
      </w:r>
      <w:r w:rsidR="003D5B85" w:rsidRPr="00B76AC2">
        <w:rPr>
          <w:rFonts w:ascii="Fira Sans" w:eastAsia="Times New Roman" w:hAnsi="Fira Sans" w:cs="Calibri"/>
          <w:sz w:val="19"/>
          <w:szCs w:val="19"/>
        </w:rPr>
        <w:t xml:space="preserve"> 1 sztuka</w:t>
      </w:r>
    </w:p>
    <w:p w:rsidR="003D5B85" w:rsidRDefault="003D5B85" w:rsidP="003D5B85">
      <w:pPr>
        <w:widowControl w:val="0"/>
        <w:overflowPunct w:val="0"/>
        <w:autoSpaceDE w:val="0"/>
        <w:autoSpaceDN w:val="0"/>
        <w:adjustRightInd w:val="0"/>
        <w:spacing w:after="0"/>
        <w:ind w:left="284" w:firstLine="424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>
        <w:rPr>
          <w:rFonts w:ascii="Fira Sans" w:eastAsia="Times New Roman" w:hAnsi="Fira Sans" w:cs="Calibri"/>
          <w:sz w:val="19"/>
          <w:szCs w:val="19"/>
        </w:rPr>
        <w:t>c)</w:t>
      </w:r>
      <w:r w:rsidRPr="003D5B85">
        <w:rPr>
          <w:rFonts w:ascii="Fira Sans" w:eastAsia="Times New Roman" w:hAnsi="Fira Sans" w:cs="Calibri"/>
          <w:sz w:val="19"/>
          <w:szCs w:val="19"/>
        </w:rPr>
        <w:t xml:space="preserve"> </w:t>
      </w:r>
      <w:r>
        <w:rPr>
          <w:rFonts w:ascii="Fira Sans" w:eastAsia="Times New Roman" w:hAnsi="Fira Sans" w:cs="Calibri"/>
          <w:sz w:val="19"/>
          <w:szCs w:val="19"/>
        </w:rPr>
        <w:t xml:space="preserve"> </w:t>
      </w:r>
      <w:r w:rsidRPr="00B76AC2">
        <w:rPr>
          <w:rFonts w:ascii="Fira Sans" w:eastAsia="Times New Roman" w:hAnsi="Fira Sans" w:cs="Calibri"/>
          <w:sz w:val="19"/>
          <w:szCs w:val="19"/>
        </w:rPr>
        <w:t>Licencja na oprogramowanie do analizy i wizualizacji danych</w:t>
      </w:r>
      <w:r>
        <w:rPr>
          <w:rFonts w:ascii="Fira Sans" w:eastAsia="Times New Roman" w:hAnsi="Fira Sans" w:cs="Calibri"/>
          <w:sz w:val="19"/>
          <w:szCs w:val="19"/>
        </w:rPr>
        <w:t xml:space="preserve">                                       </w:t>
      </w:r>
      <w:r w:rsidRPr="00B76AC2">
        <w:rPr>
          <w:rFonts w:ascii="Fira Sans" w:eastAsia="Times New Roman" w:hAnsi="Fira Sans" w:cs="Calibri"/>
          <w:sz w:val="19"/>
          <w:szCs w:val="19"/>
        </w:rPr>
        <w:t>– 1 sztuka</w:t>
      </w:r>
    </w:p>
    <w:p w:rsidR="0023780D" w:rsidRDefault="0023780D" w:rsidP="0023780D">
      <w:pPr>
        <w:widowControl w:val="0"/>
        <w:overflowPunct w:val="0"/>
        <w:autoSpaceDE w:val="0"/>
        <w:autoSpaceDN w:val="0"/>
        <w:adjustRightInd w:val="0"/>
        <w:spacing w:after="0"/>
        <w:ind w:left="284" w:firstLine="424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  <w:r>
        <w:rPr>
          <w:rFonts w:ascii="Fira Sans" w:eastAsia="Times New Roman" w:hAnsi="Fira Sans" w:cs="Calibri"/>
          <w:sz w:val="19"/>
          <w:szCs w:val="19"/>
        </w:rPr>
        <w:t>d)</w:t>
      </w:r>
      <w:r w:rsidR="003D5B85" w:rsidRPr="003D5B85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5B85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5B85" w:rsidRPr="00B76AC2">
        <w:rPr>
          <w:rFonts w:ascii="Fira Sans" w:eastAsia="Times New Roman" w:hAnsi="Fira Sans" w:cs="Calibri"/>
          <w:sz w:val="19"/>
          <w:szCs w:val="19"/>
        </w:rPr>
        <w:t>Licencja na zintegrowane środowisko programistyczne</w:t>
      </w:r>
      <w:r w:rsidR="003D5B85">
        <w:rPr>
          <w:rFonts w:ascii="Fira Sans" w:eastAsia="Times New Roman" w:hAnsi="Fira Sans" w:cs="Calibri"/>
          <w:sz w:val="19"/>
          <w:szCs w:val="19"/>
        </w:rPr>
        <w:t xml:space="preserve">                                                </w:t>
      </w:r>
      <w:r w:rsidR="003D5B85" w:rsidRPr="00B76AC2">
        <w:rPr>
          <w:rFonts w:ascii="Fira Sans" w:eastAsia="Times New Roman" w:hAnsi="Fira Sans" w:cs="Calibri"/>
          <w:sz w:val="19"/>
          <w:szCs w:val="19"/>
        </w:rPr>
        <w:t>– 15 sztuk</w:t>
      </w:r>
    </w:p>
    <w:p w:rsidR="0023780D" w:rsidRPr="003D5B85" w:rsidRDefault="0023780D" w:rsidP="003D5B85">
      <w:pPr>
        <w:widowControl w:val="0"/>
        <w:overflowPunct w:val="0"/>
        <w:autoSpaceDE w:val="0"/>
        <w:autoSpaceDN w:val="0"/>
        <w:adjustRightInd w:val="0"/>
        <w:spacing w:after="0"/>
        <w:ind w:left="284"/>
        <w:jc w:val="both"/>
        <w:textAlignment w:val="baseline"/>
        <w:rPr>
          <w:rFonts w:ascii="Fira Sans" w:eastAsia="Times New Roman" w:hAnsi="Fira Sans" w:cs="Calibri"/>
          <w:b/>
          <w:sz w:val="19"/>
          <w:szCs w:val="19"/>
        </w:rPr>
      </w:pPr>
      <w:r w:rsidRPr="00FC6A56">
        <w:rPr>
          <w:rFonts w:ascii="Fira Sans" w:eastAsia="Times New Roman" w:hAnsi="Fira Sans" w:cs="Calibri"/>
          <w:b/>
          <w:sz w:val="19"/>
          <w:szCs w:val="19"/>
        </w:rPr>
        <w:t>Część IV</w:t>
      </w:r>
      <w:r w:rsidR="003D5B85">
        <w:rPr>
          <w:rFonts w:ascii="Fira Sans" w:eastAsia="Times New Roman" w:hAnsi="Fira Sans" w:cs="Calibri"/>
          <w:b/>
          <w:sz w:val="19"/>
          <w:szCs w:val="19"/>
        </w:rPr>
        <w:t>.</w:t>
      </w:r>
      <w:r>
        <w:rPr>
          <w:rFonts w:ascii="Fira Sans" w:eastAsia="Times New Roman" w:hAnsi="Fira Sans" w:cs="Calibri"/>
          <w:sz w:val="19"/>
          <w:szCs w:val="19"/>
        </w:rPr>
        <w:t xml:space="preserve">     </w:t>
      </w:r>
    </w:p>
    <w:p w:rsidR="0023780D" w:rsidRPr="00673DF5" w:rsidRDefault="0023780D" w:rsidP="0023780D">
      <w:pPr>
        <w:pStyle w:val="Akapitzlist"/>
        <w:spacing w:line="276" w:lineRule="auto"/>
        <w:ind w:left="709" w:hanging="425"/>
        <w:rPr>
          <w:rFonts w:ascii="Fira Sans" w:hAnsi="Fira Sans" w:cs="Arial"/>
          <w:sz w:val="19"/>
          <w:szCs w:val="19"/>
        </w:rPr>
      </w:pPr>
      <w:r w:rsidRPr="00FC6A56">
        <w:rPr>
          <w:rFonts w:ascii="Fira Sans" w:hAnsi="Fira Sans" w:cs="Calibri"/>
          <w:sz w:val="19"/>
          <w:szCs w:val="19"/>
        </w:rPr>
        <w:tab/>
      </w:r>
      <w:r w:rsidR="003D5B85">
        <w:rPr>
          <w:rFonts w:ascii="Fira Sans" w:hAnsi="Fira Sans" w:cs="Calibri"/>
          <w:sz w:val="19"/>
          <w:szCs w:val="19"/>
        </w:rPr>
        <w:t xml:space="preserve">   </w:t>
      </w:r>
      <w:r w:rsidRPr="00FC6A56">
        <w:rPr>
          <w:rFonts w:ascii="Fira Sans" w:hAnsi="Fira Sans" w:cs="Calibri"/>
          <w:sz w:val="19"/>
          <w:szCs w:val="19"/>
        </w:rPr>
        <w:t xml:space="preserve"> Licencja na pakiet oprogramowania biurowego </w:t>
      </w:r>
      <w:r w:rsidRPr="00FC6A56">
        <w:rPr>
          <w:rFonts w:ascii="Fira Sans" w:hAnsi="Fira Sans" w:cs="Calibri"/>
          <w:sz w:val="19"/>
          <w:szCs w:val="19"/>
        </w:rPr>
        <w:tab/>
      </w:r>
      <w:r w:rsidRPr="00FC6A56">
        <w:rPr>
          <w:rFonts w:ascii="Fira Sans" w:hAnsi="Fira Sans" w:cs="Calibri"/>
          <w:sz w:val="19"/>
          <w:szCs w:val="19"/>
        </w:rPr>
        <w:tab/>
      </w:r>
      <w:r w:rsidRPr="00FC6A56">
        <w:rPr>
          <w:rFonts w:ascii="Fira Sans" w:hAnsi="Fira Sans" w:cs="Calibri"/>
          <w:sz w:val="19"/>
          <w:szCs w:val="19"/>
        </w:rPr>
        <w:tab/>
        <w:t xml:space="preserve"> </w:t>
      </w:r>
      <w:r w:rsidRPr="00FC6A56">
        <w:rPr>
          <w:rFonts w:ascii="Fira Sans" w:hAnsi="Fira Sans" w:cs="Calibri"/>
          <w:sz w:val="19"/>
          <w:szCs w:val="19"/>
        </w:rPr>
        <w:tab/>
        <w:t xml:space="preserve">    – 1</w:t>
      </w:r>
      <w:r w:rsidR="00BA47AC">
        <w:rPr>
          <w:rFonts w:ascii="Fira Sans" w:hAnsi="Fira Sans" w:cs="Calibri"/>
          <w:sz w:val="19"/>
          <w:szCs w:val="19"/>
        </w:rPr>
        <w:t>60</w:t>
      </w:r>
      <w:r w:rsidRPr="00FC6A56">
        <w:rPr>
          <w:rFonts w:ascii="Fira Sans" w:hAnsi="Fira Sans" w:cs="Calibri"/>
          <w:sz w:val="19"/>
          <w:szCs w:val="19"/>
        </w:rPr>
        <w:t xml:space="preserve"> sztuk</w:t>
      </w:r>
    </w:p>
    <w:p w:rsidR="00B76AC2" w:rsidRDefault="00B76AC2" w:rsidP="00CE3F68">
      <w:pPr>
        <w:widowControl w:val="0"/>
        <w:overflowPunct w:val="0"/>
        <w:autoSpaceDE w:val="0"/>
        <w:autoSpaceDN w:val="0"/>
        <w:adjustRightInd w:val="0"/>
        <w:spacing w:after="0"/>
        <w:ind w:left="284"/>
        <w:jc w:val="both"/>
        <w:textAlignment w:val="baseline"/>
        <w:rPr>
          <w:rFonts w:ascii="Fira Sans" w:eastAsia="Times New Roman" w:hAnsi="Fira Sans" w:cs="Calibri"/>
          <w:sz w:val="19"/>
          <w:szCs w:val="19"/>
        </w:rPr>
      </w:pPr>
    </w:p>
    <w:p w:rsidR="009B3317" w:rsidRDefault="009B3317" w:rsidP="008446AB">
      <w:pPr>
        <w:widowControl w:val="0"/>
        <w:overflowPunct w:val="0"/>
        <w:autoSpaceDE w:val="0"/>
        <w:autoSpaceDN w:val="0"/>
        <w:adjustRightInd w:val="0"/>
        <w:spacing w:after="0"/>
        <w:ind w:left="284"/>
        <w:textAlignment w:val="baseline"/>
        <w:rPr>
          <w:rFonts w:ascii="Fira Sans" w:eastAsia="Times New Roman" w:hAnsi="Fira Sans" w:cs="Calibri"/>
          <w:sz w:val="19"/>
          <w:szCs w:val="19"/>
        </w:rPr>
      </w:pPr>
    </w:p>
    <w:bookmarkEnd w:id="0"/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Minimalne parametry </w:t>
      </w:r>
      <w:proofErr w:type="spellStart"/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techniczno</w:t>
      </w:r>
      <w:proofErr w:type="spellEnd"/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– </w:t>
      </w:r>
      <w:r w:rsidRPr="008446AB">
        <w:rPr>
          <w:rFonts w:ascii="Fira Sans" w:eastAsia="Times New Roman" w:hAnsi="Fira Sans" w:cs="Calibri"/>
          <w:sz w:val="19"/>
          <w:szCs w:val="19"/>
        </w:rPr>
        <w:t>jakościowe</w:t>
      </w: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przedmiotu zamówienia zostały </w:t>
      </w: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>określone szczegółowo w tabelach poniżej.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Oferowany przez </w:t>
      </w:r>
      <w:r w:rsidR="00136B4A">
        <w:rPr>
          <w:rFonts w:ascii="Fira Sans" w:eastAsia="Times New Roman" w:hAnsi="Fira Sans" w:cs="Calibri"/>
          <w:bCs/>
          <w:sz w:val="19"/>
          <w:szCs w:val="19"/>
          <w:lang w:eastAsia="ar-SA"/>
        </w:rPr>
        <w:t>wykon</w:t>
      </w: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awcę sprzęt musi być fabrycznie nowy, nieużywany i wolny od wad, fabrycznie zapakowany oraz musi spełniać minimalne parametry techniczne i jakościowe określone w tabelach poniżej. 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Oferowany sprzęt musi być objęty gwarancją producenta na okres zależny od typu sprzętu, podany w tabelach </w:t>
      </w: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>w treści oferty. W tabelach podano też inne specyficzne dla danego rodzaju sprzętu wymagania gwarancyjne. Okres gwarancji będzie liczony od daty podpisania przez Zamawiającego protokołu odbioru sprzętu, tj. z momentem przejścia na Zamawiającego prawa własności.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Naprawy będą dokonywane w miejscu użytkowania sprzętu lub poza nim, jeżeli dokonanie naprawy </w:t>
      </w:r>
      <w:r w:rsidR="006A526B">
        <w:rPr>
          <w:rFonts w:ascii="Fira Sans" w:eastAsia="Times New Roman" w:hAnsi="Fira Sans" w:cs="Calibri"/>
          <w:bCs/>
          <w:sz w:val="19"/>
          <w:szCs w:val="19"/>
          <w:lang w:eastAsia="ar-SA"/>
        </w:rPr>
        <w:br/>
      </w: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w miejscu użytkownika sprzętu komputerowego okaże się niemożliwe.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Zamawiający nie ponosi kosztów naprawy sprzętu (w szczególności usług, części, sprzętu zastępczego </w:t>
      </w:r>
      <w:r w:rsidR="006A526B">
        <w:rPr>
          <w:rFonts w:ascii="Fira Sans" w:eastAsia="Times New Roman" w:hAnsi="Fira Sans" w:cs="Calibri"/>
          <w:bCs/>
          <w:sz w:val="19"/>
          <w:szCs w:val="19"/>
          <w:lang w:eastAsia="ar-SA"/>
        </w:rPr>
        <w:br/>
      </w: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i transportu), w razie wątpliwości wszelkie koszty związane z naprawą obciążają </w:t>
      </w:r>
      <w:r w:rsidR="00136B4A">
        <w:rPr>
          <w:rFonts w:ascii="Fira Sans" w:eastAsia="Times New Roman" w:hAnsi="Fira Sans" w:cs="Calibri"/>
          <w:bCs/>
          <w:sz w:val="19"/>
          <w:szCs w:val="19"/>
          <w:lang w:eastAsia="ar-SA"/>
        </w:rPr>
        <w:t>wykon</w:t>
      </w: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awcę.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 xml:space="preserve">W przypadku niemożliwości dokonania naprawy, </w:t>
      </w:r>
      <w:r w:rsidR="00136B4A">
        <w:rPr>
          <w:rFonts w:ascii="Fira Sans" w:eastAsia="Times New Roman" w:hAnsi="Fira Sans" w:cs="Calibri"/>
          <w:sz w:val="19"/>
          <w:szCs w:val="19"/>
          <w:lang w:eastAsia="ar-SA"/>
        </w:rPr>
        <w:t>wykon</w:t>
      </w: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 xml:space="preserve">awca dostarczy fabrycznie nowy sprzęt </w:t>
      </w:r>
      <w:r w:rsidR="006A526B">
        <w:rPr>
          <w:rFonts w:ascii="Fira Sans" w:eastAsia="Times New Roman" w:hAnsi="Fira Sans" w:cs="Calibri"/>
          <w:sz w:val="19"/>
          <w:szCs w:val="19"/>
          <w:lang w:eastAsia="ar-SA"/>
        </w:rPr>
        <w:br/>
      </w: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>o parametrach takich samych lub wyższych, jak uszkodzony, w terminie 14 dni od zgłoszenia. Odbiór nowego sprzętu zostanie potwierdzony protokołem odbioru.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 xml:space="preserve">Wykonanie naprawy nie spowoduje utraty gwarancji. W przypadku zawinionej przez </w:t>
      </w:r>
      <w:r w:rsidR="00136B4A">
        <w:rPr>
          <w:rFonts w:ascii="Fira Sans" w:eastAsia="Times New Roman" w:hAnsi="Fira Sans" w:cs="Calibri"/>
          <w:sz w:val="19"/>
          <w:szCs w:val="19"/>
          <w:lang w:eastAsia="ar-SA"/>
        </w:rPr>
        <w:t>wykon</w:t>
      </w: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 xml:space="preserve">awcę utraty gwarancji wszelkie koszty i obowiązki wynikające z gwarancji przechodzą na </w:t>
      </w:r>
      <w:r w:rsidR="00136B4A">
        <w:rPr>
          <w:rFonts w:ascii="Fira Sans" w:eastAsia="Times New Roman" w:hAnsi="Fira Sans" w:cs="Calibri"/>
          <w:sz w:val="19"/>
          <w:szCs w:val="19"/>
          <w:lang w:eastAsia="ar-SA"/>
        </w:rPr>
        <w:t>wykon</w:t>
      </w: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>awcę.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426" w:hanging="426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>Rozbudowa sprzętu przez pracowników Zamawiającego nie spowoduje utraty gwarancji na pozostałe elementy.</w:t>
      </w:r>
    </w:p>
    <w:p w:rsidR="008446AB" w:rsidRPr="008446AB" w:rsidRDefault="008446A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sz w:val="19"/>
          <w:szCs w:val="19"/>
          <w:lang w:eastAsia="ar-SA"/>
        </w:rPr>
        <w:t>Producent oferowanego komputera przenośnego zapewni</w:t>
      </w:r>
      <w:r w:rsidR="009B1F8B">
        <w:rPr>
          <w:rFonts w:ascii="Fira Sans" w:eastAsia="Times New Roman" w:hAnsi="Fira Sans" w:cs="Calibri"/>
          <w:sz w:val="19"/>
          <w:szCs w:val="19"/>
          <w:lang w:eastAsia="ar-SA"/>
        </w:rPr>
        <w:t>a</w:t>
      </w: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:</w:t>
      </w:r>
    </w:p>
    <w:p w:rsidR="008446AB" w:rsidRPr="008446AB" w:rsidRDefault="009B1F8B" w:rsidP="006A526B">
      <w:pPr>
        <w:widowControl w:val="0"/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/>
        <w:ind w:left="709" w:hanging="425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>
        <w:rPr>
          <w:rFonts w:ascii="Fira Sans" w:eastAsia="Times New Roman" w:hAnsi="Fira Sans" w:cs="Calibri"/>
          <w:sz w:val="19"/>
          <w:szCs w:val="19"/>
          <w:lang w:eastAsia="ar-SA"/>
        </w:rPr>
        <w:lastRenderedPageBreak/>
        <w:t>u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t xml:space="preserve">dostępnienie na witrynie producenta komputera przenośnego lub innej wskazanej przez </w:t>
      </w:r>
      <w:r w:rsidR="00136B4A">
        <w:rPr>
          <w:rFonts w:ascii="Fira Sans" w:eastAsia="Times New Roman" w:hAnsi="Fira Sans" w:cs="Calibri"/>
          <w:sz w:val="19"/>
          <w:szCs w:val="19"/>
          <w:lang w:eastAsia="ar-SA"/>
        </w:rPr>
        <w:t>wykon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t>awcę pełnej dokumentacji użytkowej i technicznej sprzętu, co najmniej w języku polskim lub angielskim</w:t>
      </w:r>
      <w:r>
        <w:rPr>
          <w:rFonts w:ascii="Fira Sans" w:eastAsia="Times New Roman" w:hAnsi="Fira Sans" w:cs="Calibri"/>
          <w:sz w:val="19"/>
          <w:szCs w:val="19"/>
          <w:lang w:eastAsia="ar-SA"/>
        </w:rPr>
        <w:t>;</w:t>
      </w:r>
    </w:p>
    <w:p w:rsidR="008446AB" w:rsidRPr="008446AB" w:rsidRDefault="009B1F8B" w:rsidP="006A526B">
      <w:pPr>
        <w:widowControl w:val="0"/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/>
        <w:ind w:left="709" w:hanging="425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>
        <w:rPr>
          <w:rFonts w:ascii="Fira Sans" w:eastAsia="Times New Roman" w:hAnsi="Fira Sans" w:cs="Calibri"/>
          <w:sz w:val="19"/>
          <w:szCs w:val="19"/>
          <w:lang w:eastAsia="ar-SA"/>
        </w:rPr>
        <w:t>u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t xml:space="preserve">dostępnienie na witrynie producenta komputera przenośnego lub innej wskazanej przez </w:t>
      </w:r>
      <w:r w:rsidR="00136B4A">
        <w:rPr>
          <w:rFonts w:ascii="Fira Sans" w:eastAsia="Times New Roman" w:hAnsi="Fira Sans" w:cs="Calibri"/>
          <w:sz w:val="19"/>
          <w:szCs w:val="19"/>
          <w:lang w:eastAsia="ar-SA"/>
        </w:rPr>
        <w:t>wykon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t xml:space="preserve">awcę wszystkich sterowników, oprogramowania i uaktualnień. System udostępniony użytkownikom na witrynie producenta lub innej wskazanej przez </w:t>
      </w:r>
      <w:r w:rsidR="00136B4A">
        <w:rPr>
          <w:rFonts w:ascii="Fira Sans" w:eastAsia="Times New Roman" w:hAnsi="Fira Sans" w:cs="Calibri"/>
          <w:sz w:val="19"/>
          <w:szCs w:val="19"/>
          <w:lang w:eastAsia="ar-SA"/>
        </w:rPr>
        <w:t>wykon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t>awcę musi wyszukiwać i udostępniać do ściągnięcia komplet oprogramowania i dokumentacji właściwych tylko dla konkretnego sprzętu, zidentyfikowanego przez numer fabryczny lub numer modelu lub inny unikatowy identyfikator komputera. Do oferty należy dołączyć link do właściwej strony</w:t>
      </w:r>
      <w:r>
        <w:rPr>
          <w:rFonts w:ascii="Fira Sans" w:eastAsia="Times New Roman" w:hAnsi="Fira Sans" w:cs="Calibri"/>
          <w:sz w:val="19"/>
          <w:szCs w:val="19"/>
          <w:lang w:eastAsia="ar-SA"/>
        </w:rPr>
        <w:t>;</w:t>
      </w:r>
    </w:p>
    <w:p w:rsidR="008446AB" w:rsidRPr="008446AB" w:rsidRDefault="009B1F8B" w:rsidP="006A526B">
      <w:pPr>
        <w:widowControl w:val="0"/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/>
        <w:ind w:left="709" w:hanging="425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>
        <w:rPr>
          <w:rFonts w:ascii="Fira Sans" w:eastAsia="Times New Roman" w:hAnsi="Fira Sans" w:cs="Calibri"/>
          <w:sz w:val="19"/>
          <w:szCs w:val="19"/>
          <w:lang w:eastAsia="ar-SA"/>
        </w:rPr>
        <w:t>u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t>trzymywanie polskojęzycznej infolinii technicznej, w celu przyjmowania zgłoszeń serwisowych, co najmniej w godzinach 9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noBreakHyphen/>
        <w:t>17, we wszystkie dni robocze, bezpłatnej lub w cenie połączenia lokalnego w całej Polsce, począwszy od dnia podpisania protokołu odbioru sprzętu</w:t>
      </w:r>
      <w:r>
        <w:rPr>
          <w:rFonts w:ascii="Fira Sans" w:eastAsia="Times New Roman" w:hAnsi="Fira Sans" w:cs="Calibri"/>
          <w:sz w:val="19"/>
          <w:szCs w:val="19"/>
          <w:lang w:eastAsia="ar-SA"/>
        </w:rPr>
        <w:t>;</w:t>
      </w:r>
    </w:p>
    <w:p w:rsidR="0057622D" w:rsidRDefault="009B1F8B" w:rsidP="006A526B">
      <w:pPr>
        <w:widowControl w:val="0"/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/>
        <w:ind w:left="709" w:hanging="425"/>
        <w:jc w:val="both"/>
        <w:textAlignment w:val="baseline"/>
        <w:rPr>
          <w:rFonts w:ascii="Fira Sans" w:eastAsia="Times New Roman" w:hAnsi="Fira Sans" w:cs="Calibri"/>
          <w:sz w:val="19"/>
          <w:szCs w:val="19"/>
          <w:lang w:eastAsia="ar-SA"/>
        </w:rPr>
      </w:pPr>
      <w:r>
        <w:rPr>
          <w:rFonts w:ascii="Fira Sans" w:eastAsia="Times New Roman" w:hAnsi="Fira Sans" w:cs="Calibri"/>
          <w:sz w:val="19"/>
          <w:szCs w:val="19"/>
          <w:lang w:eastAsia="ar-SA"/>
        </w:rPr>
        <w:t>z</w:t>
      </w:r>
      <w:r w:rsidR="008446AB" w:rsidRPr="008446AB">
        <w:rPr>
          <w:rFonts w:ascii="Fira Sans" w:eastAsia="Times New Roman" w:hAnsi="Fira Sans" w:cs="Calibri"/>
          <w:sz w:val="19"/>
          <w:szCs w:val="19"/>
          <w:lang w:eastAsia="ar-SA"/>
        </w:rPr>
        <w:t>apewnienie przyjmowania zgłoszeń serwisowych poprzez stronę WWW poza godzinami przyjmowania zgłoszeń telefonicznych, począwszy od dnia podpisania protokołu odbioru</w:t>
      </w:r>
      <w:r w:rsidR="0057622D">
        <w:rPr>
          <w:rFonts w:ascii="Fira Sans" w:eastAsia="Times New Roman" w:hAnsi="Fira Sans" w:cs="Calibri"/>
          <w:sz w:val="19"/>
          <w:szCs w:val="19"/>
          <w:lang w:eastAsia="ar-SA"/>
        </w:rPr>
        <w:t xml:space="preserve"> sprzętu.</w:t>
      </w:r>
    </w:p>
    <w:p w:rsidR="008446AB" w:rsidRPr="0057622D" w:rsidRDefault="008446AB" w:rsidP="006A526B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ind w:left="284" w:hanging="284"/>
        <w:jc w:val="both"/>
        <w:textAlignment w:val="baseline"/>
        <w:rPr>
          <w:rFonts w:ascii="Fira Sans" w:hAnsi="Fira Sans" w:cs="Calibri"/>
          <w:sz w:val="19"/>
          <w:szCs w:val="19"/>
        </w:rPr>
      </w:pPr>
      <w:r w:rsidRPr="0057622D">
        <w:rPr>
          <w:rFonts w:ascii="Fira Sans" w:hAnsi="Fira Sans" w:cs="Calibri"/>
          <w:sz w:val="19"/>
          <w:szCs w:val="19"/>
        </w:rPr>
        <w:t>Zapewnienie napraw gwarancyjnych sprzętu komputerowego na terenie UE, przy czym w przypadku monitorów co najmniej na terenie Polski, na zasadach określonych w niniejszym dokumencie.</w:t>
      </w:r>
    </w:p>
    <w:p w:rsidR="003762F0" w:rsidRPr="00B812C9" w:rsidRDefault="008446AB" w:rsidP="003762F0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Wszystkie oferowane urządzenia elektryczne muszą być oznaczone znakiem zgodności CE (</w:t>
      </w:r>
      <w:proofErr w:type="spellStart"/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Conformité</w:t>
      </w:r>
      <w:proofErr w:type="spellEnd"/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</w:t>
      </w:r>
      <w:proofErr w:type="spellStart"/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Européenne</w:t>
      </w:r>
      <w:proofErr w:type="spellEnd"/>
      <w:r w:rsidRPr="008446AB">
        <w:rPr>
          <w:rFonts w:ascii="Fira Sans" w:eastAsia="Times New Roman" w:hAnsi="Fira Sans" w:cs="Calibri"/>
          <w:bCs/>
          <w:sz w:val="19"/>
          <w:szCs w:val="19"/>
          <w:lang w:eastAsia="ar-SA"/>
        </w:rPr>
        <w:t>).</w:t>
      </w:r>
    </w:p>
    <w:p w:rsidR="003762F0" w:rsidRP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Zakup licencji oprogramowania jest uzupełnieniem stanu licencyjnego oprogramowania eksploatowanego w środowisku u Zamawiającego.</w:t>
      </w:r>
    </w:p>
    <w:p w:rsid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Oprogramowanie będące przedmiotem zamówienia przeznaczone jest dla instytucji rządowych.</w:t>
      </w:r>
    </w:p>
    <w:p w:rsid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Licencje muszą być fabrycznie nowe, wolne od wad prawnych i nie mogą pochodzić z rynku wtórnego.</w:t>
      </w:r>
    </w:p>
    <w:p w:rsid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Licencje zostaną przekazane Zamawiającemu drogą elektroniczną na konto Zamawiającego. Nazwa konta zostanie uzgodniona z Wykonawcą w trakcie realizacji dostawy.</w:t>
      </w:r>
    </w:p>
    <w:p w:rsid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Termin wykonania zamówienia wynosi do 14 dni od daty zawarcia umowy (Termin dostawy licencji do Zamawiającego stanowi jedno z kryterium oceny ofert).</w:t>
      </w:r>
    </w:p>
    <w:p w:rsid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Licencje powinny pozwalać na przenoszenie oprogramowania między stanowiskami komputerowymi.</w:t>
      </w:r>
    </w:p>
    <w:p w:rsidR="003762F0" w:rsidRPr="00F15395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F15395">
        <w:rPr>
          <w:rFonts w:ascii="Fira Sans" w:hAnsi="Fira Sans" w:cs="Calibri"/>
          <w:bCs/>
          <w:sz w:val="19"/>
          <w:szCs w:val="19"/>
        </w:rPr>
        <w:t>Wykonawca zapewni dostęp do spersonalizowanej witryny Producenta ze zdefiniowanym kontem Zamawiającego pozwalającym upoważnionym osobom ze strony Zamawiającego na: pobieranie kodu instalacyjnego zakupionego oprogramowania oraz pobierania kodów aktywacyjnych.</w:t>
      </w:r>
    </w:p>
    <w:p w:rsid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Wskazane w Specyfikacjach technicznych Opisu Przedmiotu Zamówienia nazwy produktów (licencji oprogramowania) odnoszą się do posiadanego przez Zamawiającego oprogramowania, a zachowanie parametrów określonych jako równoważne, jest konieczne do zachowania kompatybilności.</w:t>
      </w:r>
    </w:p>
    <w:p w:rsidR="003762F0" w:rsidRDefault="003762F0" w:rsidP="00FC6A56">
      <w:pPr>
        <w:pStyle w:val="Akapitzlist"/>
        <w:numPr>
          <w:ilvl w:val="3"/>
          <w:numId w:val="1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Warunki równoważności:</w:t>
      </w:r>
    </w:p>
    <w:p w:rsidR="003762F0" w:rsidRDefault="003762F0" w:rsidP="00FC6A56">
      <w:pPr>
        <w:pStyle w:val="Akapitzlist"/>
        <w:numPr>
          <w:ilvl w:val="4"/>
          <w:numId w:val="1"/>
        </w:numPr>
        <w:overflowPunct w:val="0"/>
        <w:autoSpaceDE w:val="0"/>
        <w:autoSpaceDN w:val="0"/>
        <w:adjustRightInd w:val="0"/>
        <w:spacing w:line="276" w:lineRule="auto"/>
        <w:ind w:left="754" w:hanging="357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 przypadku zaoferowania oprogramowania równoważnego względem wyspecyfikowanego przez Zamawiającego w SWZ, Wykonawca musi na swoją odpowiedzialność i swój koszt udowodnić, że zaoferowane produkty spełniają wszystkie wymagania i warunki określone w SWZ, w szczególności w zakresie: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warunków licencji zaoferowanych produktów równoważnych w każdym aspekcie, które nie mogą być gorsze niż dla produktów wymienionych w SWZ;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funkcjonalności zaoferowanych produktów równoważnych, które nie mogą być ograniczone i gorsze względem funkcjonalności produktów wymienionych w SWZ, zakresu kompatybilności i współdziałania zaoferowanych produktów równoważnych ze sprzętem i oprogramowaniem funkcjonującym u Zamawiającego, który nie może być gorszy niż dla produktów wymienionych w SWZ;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poziomu współpracy zaoferowanych produktów równoważnych z systemami Zamawiającego, który nie może być gorszy od tego jaki zapewniają produkty wymienione w SWZ;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 xml:space="preserve">zapewnienia pełnej, równoległej współpracy w czasie rzeczywistym i pełnej funkcjonalnej zamienności zaoferowanych produktów równoważnych z produktami wymienionymi </w:t>
      </w:r>
      <w:r w:rsidR="00FC6A56">
        <w:rPr>
          <w:rFonts w:ascii="Fira Sans" w:hAnsi="Fira Sans" w:cs="Calibri"/>
          <w:bCs/>
          <w:sz w:val="19"/>
          <w:szCs w:val="19"/>
        </w:rPr>
        <w:br/>
      </w:r>
      <w:r w:rsidRPr="003762F0">
        <w:rPr>
          <w:rFonts w:ascii="Fira Sans" w:hAnsi="Fira Sans" w:cs="Calibri"/>
          <w:bCs/>
          <w:sz w:val="19"/>
          <w:szCs w:val="19"/>
        </w:rPr>
        <w:t>w SWZ;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warunków oraz zakresu usług gwarancji i asysty technicznej zaoferowanych produktów równoważnych, które nie mogą być gorsze niż dla produktów wymienionych w SWZ;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lastRenderedPageBreak/>
        <w:t>obsługi przez zaoferowane produkty równoważne języków interfejsu, w ilości i rodzaju nie mniejszych niż oferują produkty wymienione w SWZ;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dostępności 64 bitowej wersji zaoferowanych produktów równoważnych, która nie może być mniejsza niż dla produktów wymienionych w SWZ;</w:t>
      </w:r>
    </w:p>
    <w:p w:rsidR="003762F0" w:rsidRDefault="003762F0" w:rsidP="00FC6A56">
      <w:pPr>
        <w:pStyle w:val="Akapitzlist"/>
        <w:numPr>
          <w:ilvl w:val="0"/>
          <w:numId w:val="3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dostępności wersji na różne systemy operacyjne zaoferowanych produktów równoważnych, która nie może być mniejsza niż dla produktów wymienionych w SWZ.</w:t>
      </w:r>
    </w:p>
    <w:p w:rsidR="003762F0" w:rsidRDefault="003762F0" w:rsidP="00FC6A56">
      <w:pPr>
        <w:pStyle w:val="Akapitzlist"/>
        <w:numPr>
          <w:ilvl w:val="4"/>
          <w:numId w:val="1"/>
        </w:numPr>
        <w:overflowPunct w:val="0"/>
        <w:autoSpaceDE w:val="0"/>
        <w:autoSpaceDN w:val="0"/>
        <w:adjustRightInd w:val="0"/>
        <w:spacing w:line="276" w:lineRule="auto"/>
        <w:ind w:left="754" w:hanging="357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 przypadku zaoferowania przez Wykonawcę produktu równoważnego Wykonawca dokona wspólnie z Zamawiającym instalacji i testowania produktu równoważnego w środowisku sprzętowo-programowym Zamawiającego;</w:t>
      </w:r>
    </w:p>
    <w:p w:rsidR="003762F0" w:rsidRDefault="003762F0" w:rsidP="00FC6A56">
      <w:pPr>
        <w:pStyle w:val="Akapitzlist"/>
        <w:numPr>
          <w:ilvl w:val="4"/>
          <w:numId w:val="1"/>
        </w:numPr>
        <w:overflowPunct w:val="0"/>
        <w:autoSpaceDE w:val="0"/>
        <w:autoSpaceDN w:val="0"/>
        <w:adjustRightInd w:val="0"/>
        <w:spacing w:line="276" w:lineRule="auto"/>
        <w:ind w:left="754" w:hanging="357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 przypadku zaoferowania przez Wykonawcę oprogramowania równoważnego Wykonawca dokona transferu wiedzy w zakresie utrzymania i rozwoju rozwiązania opartego o zaproponowane produkty;</w:t>
      </w:r>
    </w:p>
    <w:p w:rsidR="003762F0" w:rsidRDefault="003762F0" w:rsidP="00FC6A56">
      <w:pPr>
        <w:pStyle w:val="Akapitzlist"/>
        <w:numPr>
          <w:ilvl w:val="4"/>
          <w:numId w:val="1"/>
        </w:numPr>
        <w:overflowPunct w:val="0"/>
        <w:autoSpaceDE w:val="0"/>
        <w:autoSpaceDN w:val="0"/>
        <w:adjustRightInd w:val="0"/>
        <w:spacing w:line="276" w:lineRule="auto"/>
        <w:ind w:left="754" w:hanging="357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w przypadku, gdy zaoferowany przez Wykonawcę produkt równoważny nie będzie właściwie współdziałać ze sprzętem i oprogramowaniem funkcjonującym u Zamawiającego lub spowoduje zakłócenia w funkcjonowaniu pracy środowiska sprzętowo-programowego u Zamawiającego, Wykonawca pokryje wszystkie koszty związane z przywróceniem i sprawnym działaniem infrastruktury sprzętowo-programowej Zamawiającego oraz na własny koszt dokona niezbędnych modyfikacji przywracających właściwe działanie środowiska sprzętowo-programowego Zamawiającego również po usunięciu produktu równoważnego;</w:t>
      </w:r>
    </w:p>
    <w:p w:rsidR="003762F0" w:rsidRDefault="003762F0" w:rsidP="00FC6A56">
      <w:pPr>
        <w:pStyle w:val="Akapitzlist"/>
        <w:numPr>
          <w:ilvl w:val="4"/>
          <w:numId w:val="1"/>
        </w:numPr>
        <w:overflowPunct w:val="0"/>
        <w:autoSpaceDE w:val="0"/>
        <w:autoSpaceDN w:val="0"/>
        <w:adjustRightInd w:val="0"/>
        <w:spacing w:line="276" w:lineRule="auto"/>
        <w:ind w:left="754" w:hanging="357"/>
        <w:jc w:val="both"/>
        <w:textAlignment w:val="baseline"/>
        <w:rPr>
          <w:rFonts w:ascii="Fira Sans" w:hAnsi="Fira Sans" w:cs="Calibri"/>
          <w:bCs/>
          <w:sz w:val="19"/>
          <w:szCs w:val="19"/>
        </w:rPr>
      </w:pPr>
      <w:r w:rsidRPr="003762F0">
        <w:rPr>
          <w:rFonts w:ascii="Fira Sans" w:hAnsi="Fira Sans" w:cs="Calibri"/>
          <w:bCs/>
          <w:sz w:val="19"/>
          <w:szCs w:val="19"/>
        </w:rPr>
        <w:t>oprogramowanie równoważne dostarczane przez Wykonawcę nie może powodować utraty kompatybilności oraz wsparcia producentów innego używanego i współpracującego z nim oprogramowania;</w:t>
      </w:r>
    </w:p>
    <w:p w:rsidR="00D63DE5" w:rsidRDefault="00D63DE5" w:rsidP="00FC6A56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D63DE5">
        <w:rPr>
          <w:rFonts w:ascii="Fira Sans" w:eastAsia="Times New Roman" w:hAnsi="Fira Sans" w:cs="Calibri"/>
          <w:bCs/>
          <w:sz w:val="19"/>
          <w:szCs w:val="19"/>
          <w:lang w:eastAsia="ar-SA"/>
        </w:rPr>
        <w:t>Licencja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na oprogramowanie</w:t>
      </w:r>
      <w:r w:rsidRPr="00D63DE5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musi obejmować prawo do użytkowania na terytorium Rzeczypospolitej Polskiej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. </w:t>
      </w:r>
    </w:p>
    <w:p w:rsidR="00D63DE5" w:rsidRDefault="00B74993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B74993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Licencja 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>na oprogramowanie</w:t>
      </w:r>
      <w:r w:rsidRPr="00D63DE5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(za wyjątkiem licencji typu OEM na system operacyjny) </w:t>
      </w:r>
      <w:r w:rsidRPr="00B74993">
        <w:rPr>
          <w:rFonts w:ascii="Fira Sans" w:eastAsia="Times New Roman" w:hAnsi="Fira Sans" w:cs="Calibri"/>
          <w:bCs/>
          <w:sz w:val="19"/>
          <w:szCs w:val="19"/>
          <w:lang w:eastAsia="ar-SA"/>
        </w:rPr>
        <w:t>musi być przenoszalna na inny sprzęt Zamawiającego w przypadku awarii, wymiany lub modernizacji urządzeń.</w:t>
      </w:r>
    </w:p>
    <w:p w:rsidR="00B01FF2" w:rsidRDefault="00B01FF2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B01FF2">
        <w:rPr>
          <w:rFonts w:ascii="Fira Sans" w:eastAsia="Times New Roman" w:hAnsi="Fira Sans" w:cs="Calibri"/>
          <w:bCs/>
          <w:sz w:val="19"/>
          <w:szCs w:val="19"/>
          <w:lang w:eastAsia="ar-SA"/>
        </w:rPr>
        <w:t>Wykonawca musi dostarczyć oryginalne dokumenty licencyjne (np. certyfikaty, klucze, e-maile potwierdzające nadanie uprawnień) wystawione na rzecz Zamawiającego.</w:t>
      </w:r>
    </w:p>
    <w:p w:rsidR="00B01FF2" w:rsidRDefault="00B01FF2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B01FF2">
        <w:rPr>
          <w:rFonts w:ascii="Fira Sans" w:eastAsia="Times New Roman" w:hAnsi="Fira Sans" w:cs="Calibri"/>
          <w:bCs/>
          <w:sz w:val="19"/>
          <w:szCs w:val="19"/>
          <w:lang w:eastAsia="ar-SA"/>
        </w:rPr>
        <w:t>Wykonawca gwarantuje, że posiada pełne i nieograniczone prawa do udzielenia wymaganej licencji Zamawiającemu i że prawa te nie naruszają praw osób trzecich.</w:t>
      </w:r>
    </w:p>
    <w:p w:rsidR="00954174" w:rsidRDefault="00954174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954174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Wykonawca 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>musi</w:t>
      </w:r>
      <w:r w:rsidRPr="00954174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precyzyjnie określić, w oparciu o jaki model naliczana jest licencja (np. na użytkownika, na 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stanowisko robocze, subskrypcja na określony czas). </w:t>
      </w:r>
    </w:p>
    <w:p w:rsidR="0057414C" w:rsidRDefault="0057414C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57414C">
        <w:rPr>
          <w:rFonts w:ascii="Fira Sans" w:eastAsia="Times New Roman" w:hAnsi="Fira Sans" w:cs="Calibri"/>
          <w:bCs/>
          <w:sz w:val="19"/>
          <w:szCs w:val="19"/>
          <w:lang w:eastAsia="ar-SA"/>
        </w:rPr>
        <w:t>Dopuszcza się oferowanie oprogramowania równoważnego, pod warunkiem, że oferowany produkt spełnia wszystkie wymagania funkcjonalne i techniczne określone w niniejszym Opisie Przedmiotu Zamówienia, a warunki licencyjne są nie gorsze.</w:t>
      </w:r>
    </w:p>
    <w:p w:rsidR="00E16A4B" w:rsidRPr="00D63DE5" w:rsidRDefault="00E16A4B" w:rsidP="006A526B">
      <w:pPr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Fira Sans" w:eastAsia="Times New Roman" w:hAnsi="Fira Sans" w:cs="Calibri"/>
          <w:bCs/>
          <w:sz w:val="19"/>
          <w:szCs w:val="19"/>
          <w:lang w:eastAsia="ar-SA"/>
        </w:rPr>
      </w:pPr>
      <w:r w:rsidRPr="00E16A4B">
        <w:rPr>
          <w:rFonts w:ascii="Fira Sans" w:eastAsia="Times New Roman" w:hAnsi="Fira Sans" w:cs="Calibri"/>
          <w:bCs/>
          <w:sz w:val="19"/>
          <w:szCs w:val="19"/>
          <w:lang w:eastAsia="ar-SA"/>
        </w:rPr>
        <w:t>Oprogramowanie musi być w pełni kompatybilne i stabilnie działać na systemie operacyjnym u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>żywanym przez Zamawiającego (Microsoft</w:t>
      </w:r>
      <w:r w:rsidRPr="00E16A4B"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 Windows 10/11</w:t>
      </w:r>
      <w:r>
        <w:rPr>
          <w:rFonts w:ascii="Fira Sans" w:eastAsia="Times New Roman" w:hAnsi="Fira Sans" w:cs="Calibri"/>
          <w:bCs/>
          <w:sz w:val="19"/>
          <w:szCs w:val="19"/>
          <w:lang w:eastAsia="ar-SA"/>
        </w:rPr>
        <w:t xml:space="preserve">). </w:t>
      </w:r>
    </w:p>
    <w:p w:rsidR="002C033C" w:rsidRDefault="002C033C">
      <w:pPr>
        <w:spacing w:after="160" w:line="259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br w:type="page"/>
      </w:r>
    </w:p>
    <w:p w:rsidR="0038314D" w:rsidRDefault="00F42C8D" w:rsidP="0038314D">
      <w:pPr>
        <w:spacing w:after="0"/>
        <w:rPr>
          <w:rFonts w:ascii="Fira Sans" w:hAnsi="Fira Sans"/>
          <w:b/>
          <w:sz w:val="24"/>
          <w:szCs w:val="24"/>
        </w:rPr>
      </w:pPr>
      <w:bookmarkStart w:id="2" w:name="_Hlk214302645"/>
      <w:r w:rsidRPr="00FC6A56">
        <w:rPr>
          <w:rFonts w:ascii="Fira Sans" w:hAnsi="Fira Sans"/>
          <w:b/>
          <w:sz w:val="24"/>
          <w:szCs w:val="24"/>
        </w:rPr>
        <w:lastRenderedPageBreak/>
        <w:t xml:space="preserve">Część </w:t>
      </w:r>
      <w:r w:rsidR="00CE3F68" w:rsidRPr="00FC6A56">
        <w:rPr>
          <w:rFonts w:ascii="Fira Sans" w:hAnsi="Fira Sans"/>
          <w:b/>
          <w:sz w:val="24"/>
          <w:szCs w:val="24"/>
        </w:rPr>
        <w:t>I</w:t>
      </w:r>
      <w:r w:rsidRPr="00FC6A56">
        <w:rPr>
          <w:rFonts w:ascii="Fira Sans" w:hAnsi="Fira Sans"/>
          <w:b/>
          <w:sz w:val="24"/>
          <w:szCs w:val="24"/>
        </w:rPr>
        <w:t xml:space="preserve">. </w:t>
      </w:r>
      <w:r w:rsidR="00FC6A56">
        <w:rPr>
          <w:rFonts w:ascii="Fira Sans" w:hAnsi="Fira Sans"/>
          <w:b/>
          <w:sz w:val="24"/>
          <w:szCs w:val="24"/>
        </w:rPr>
        <w:t>Zamówienia</w:t>
      </w:r>
    </w:p>
    <w:bookmarkEnd w:id="2"/>
    <w:p w:rsidR="00FC6A56" w:rsidRPr="00FC6A56" w:rsidRDefault="00FC6A56" w:rsidP="0038314D">
      <w:pPr>
        <w:spacing w:after="0"/>
        <w:rPr>
          <w:rFonts w:ascii="Fira Sans" w:hAnsi="Fira Sans"/>
          <w:b/>
          <w:sz w:val="24"/>
          <w:szCs w:val="24"/>
        </w:rPr>
      </w:pPr>
    </w:p>
    <w:p w:rsidR="00F42C8D" w:rsidRPr="00F42C8D" w:rsidRDefault="00F42C8D" w:rsidP="0038314D">
      <w:pPr>
        <w:spacing w:after="0"/>
        <w:rPr>
          <w:rFonts w:ascii="Fira Sans" w:eastAsia="Times New Roman" w:hAnsi="Fira Sans" w:cs="Times New Roman"/>
          <w:b/>
          <w:sz w:val="19"/>
          <w:szCs w:val="19"/>
        </w:rPr>
      </w:pPr>
      <w:r w:rsidRPr="00F42C8D">
        <w:rPr>
          <w:rFonts w:ascii="Fira Sans" w:eastAsia="Times New Roman" w:hAnsi="Fira Sans" w:cs="Times New Roman"/>
          <w:b/>
          <w:sz w:val="19"/>
          <w:szCs w:val="19"/>
        </w:rPr>
        <w:t>Tab</w:t>
      </w:r>
      <w:r w:rsidR="00800D8E">
        <w:rPr>
          <w:rFonts w:ascii="Fira Sans" w:eastAsia="Times New Roman" w:hAnsi="Fira Sans" w:cs="Times New Roman"/>
          <w:b/>
          <w:sz w:val="19"/>
          <w:szCs w:val="19"/>
        </w:rPr>
        <w:t>ela 1</w:t>
      </w:r>
      <w:r w:rsidRPr="00F42C8D">
        <w:rPr>
          <w:rFonts w:ascii="Fira Sans" w:eastAsia="Times New Roman" w:hAnsi="Fira Sans" w:cs="Times New Roman"/>
          <w:b/>
          <w:sz w:val="19"/>
          <w:szCs w:val="19"/>
        </w:rPr>
        <w:t>. Komputer stacjonarny – 3</w:t>
      </w:r>
      <w:r w:rsidR="00CE3F68">
        <w:rPr>
          <w:rFonts w:ascii="Fira Sans" w:eastAsia="Times New Roman" w:hAnsi="Fira Sans" w:cs="Times New Roman"/>
          <w:b/>
          <w:sz w:val="19"/>
          <w:szCs w:val="19"/>
        </w:rPr>
        <w:t>5</w:t>
      </w:r>
      <w:r w:rsidRPr="00F42C8D">
        <w:rPr>
          <w:rFonts w:ascii="Fira Sans" w:eastAsia="Times New Roman" w:hAnsi="Fira Sans" w:cs="Times New Roman"/>
          <w:b/>
          <w:sz w:val="19"/>
          <w:szCs w:val="19"/>
        </w:rPr>
        <w:t xml:space="preserve"> sztuk</w:t>
      </w:r>
    </w:p>
    <w:p w:rsidR="00F42C8D" w:rsidRPr="00F42C8D" w:rsidRDefault="00F42C8D" w:rsidP="00F42C8D">
      <w:pPr>
        <w:spacing w:after="0" w:line="240" w:lineRule="auto"/>
        <w:rPr>
          <w:rFonts w:ascii="Fira Sans" w:eastAsia="Times New Roman" w:hAnsi="Fira Sans" w:cs="Times New Roman"/>
          <w:b/>
          <w:sz w:val="19"/>
          <w:szCs w:val="19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540"/>
        <w:gridCol w:w="1693"/>
        <w:gridCol w:w="7118"/>
      </w:tblGrid>
      <w:tr w:rsidR="00F42C8D" w:rsidRPr="00F42C8D" w:rsidTr="00E06561">
        <w:tc>
          <w:tcPr>
            <w:tcW w:w="540" w:type="dxa"/>
            <w:vAlign w:val="center"/>
          </w:tcPr>
          <w:p w:rsidR="00F42C8D" w:rsidRPr="00F42C8D" w:rsidRDefault="00F42C8D" w:rsidP="00F42C8D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b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b/>
                <w:sz w:val="19"/>
                <w:szCs w:val="19"/>
              </w:rPr>
              <w:t>Lp.</w:t>
            </w:r>
          </w:p>
        </w:tc>
        <w:tc>
          <w:tcPr>
            <w:tcW w:w="1693" w:type="dxa"/>
            <w:vAlign w:val="center"/>
          </w:tcPr>
          <w:p w:rsidR="00F42C8D" w:rsidRPr="00F42C8D" w:rsidRDefault="00F42C8D" w:rsidP="00F42C8D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b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b/>
                <w:sz w:val="19"/>
                <w:szCs w:val="19"/>
              </w:rPr>
              <w:t>Parametr</w:t>
            </w:r>
          </w:p>
        </w:tc>
        <w:tc>
          <w:tcPr>
            <w:tcW w:w="7118" w:type="dxa"/>
            <w:vAlign w:val="center"/>
          </w:tcPr>
          <w:p w:rsidR="00F42C8D" w:rsidRPr="00F42C8D" w:rsidRDefault="00F42C8D" w:rsidP="00F42C8D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b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b/>
                <w:sz w:val="19"/>
                <w:szCs w:val="19"/>
              </w:rPr>
              <w:t>Wymagania minimalne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Procesor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Procesor 64-bitowy, minimum 6-rdzeniowy i 12-wątkowy o wydajności minimum 29000pkt w teście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PassMark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Average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CPU Mark (</w:t>
            </w:r>
            <w:hyperlink r:id="rId8" w:history="1">
              <w:r w:rsidRPr="00F42C8D">
                <w:rPr>
                  <w:rFonts w:ascii="Fira Sans" w:eastAsia="Times New Roman" w:hAnsi="Fira Sans" w:cs="Times New Roman"/>
                  <w:color w:val="0563C1" w:themeColor="hyperlink"/>
                  <w:sz w:val="19"/>
                  <w:szCs w:val="19"/>
                  <w:u w:val="single"/>
                </w:rPr>
                <w:t>www.cpubenchmark.net</w:t>
              </w:r>
            </w:hyperlink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).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Zamawiający uzna dla oferowanego procesora wynik testu jeżeli został on opublikowany na stronie </w:t>
            </w:r>
            <w:hyperlink r:id="rId9" w:history="1">
              <w:r w:rsidRPr="00F42C8D">
                <w:rPr>
                  <w:rFonts w:ascii="Fira Sans" w:eastAsia="Times New Roman" w:hAnsi="Fira Sans" w:cs="Times New Roman"/>
                  <w:color w:val="0563C1" w:themeColor="hyperlink"/>
                  <w:sz w:val="19"/>
                  <w:szCs w:val="19"/>
                  <w:u w:val="single"/>
                </w:rPr>
                <w:t>www.cpubenchmark.net</w:t>
              </w:r>
            </w:hyperlink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lub został przeprowadzony zgodnie z procedurą testów zamieszczanych na stronie </w:t>
            </w:r>
            <w:hyperlink r:id="rId10" w:history="1">
              <w:r w:rsidRPr="00F42C8D">
                <w:rPr>
                  <w:rFonts w:ascii="Fira Sans" w:eastAsia="Times New Roman" w:hAnsi="Fira Sans" w:cs="Times New Roman"/>
                  <w:color w:val="0563C1" w:themeColor="hyperlink"/>
                  <w:sz w:val="19"/>
                  <w:szCs w:val="19"/>
                  <w:u w:val="single"/>
                </w:rPr>
                <w:t>www.cpubenchmark.net</w:t>
              </w:r>
            </w:hyperlink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przez jednostkę niezależną od </w:t>
            </w:r>
            <w:r w:rsidR="00136B4A">
              <w:rPr>
                <w:rFonts w:ascii="Fira Sans" w:eastAsia="Times New Roman" w:hAnsi="Fira Sans" w:cs="Times New Roman"/>
                <w:sz w:val="19"/>
                <w:szCs w:val="19"/>
              </w:rPr>
              <w:t>wykon</w:t>
            </w: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awcy.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Obsługa pamięci RAM minimum DDR5-5600. 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Maksymalna moc wydzielana (TDP) 65W.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Radiator wraz z wentylatorem odpowiedni do podstawki procesora oraz TDP. 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Pamięć RAM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Rodzaj: DDR5 DIMM, standard: min. DDR5-5600, maksymalne opóźnienie – CAS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latecy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(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ns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): CL30, pojemność 32GB, ilość modułów DIMM: 2, praca w trybie dwukanałowym. 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Płyta główna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Zgodna z zaproponowanym przez </w:t>
            </w:r>
            <w:r w:rsidR="00136B4A">
              <w:rPr>
                <w:rFonts w:ascii="Fira Sans" w:eastAsia="Times New Roman" w:hAnsi="Fira Sans" w:cs="Times New Roman"/>
                <w:sz w:val="19"/>
                <w:szCs w:val="19"/>
              </w:rPr>
              <w:t>wykon</w:t>
            </w: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awcę procesorem, pamięcią RAM oraz dyskiem twardym (SSD).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Standard płyty ATX lub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microATX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, minimum 4 banki pamięci RAM,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Obsługa min. 256GB RAM.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Obsługa modułów pamięci AMD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EXtended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Profiles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for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Overclocking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(AMD EXPO™) oraz Extreme Memory Profile (XMP).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Minimum 1 złącze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PCIe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4.0 x16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Co najmniej 2x USB 3.0, 4x USB 2.0 wyprowadzone na panelu tylnym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oraz 1x USB 3.0 oraz 1x USB 2.0 wyprowadzone na panelu przednim.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Co najmniej 4x SATA III (6Gb/s) oraz co najmniej 2x M.2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PCIe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 4.0 x4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NVMe</w:t>
            </w:r>
            <w:proofErr w:type="spellEnd"/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Dysk twardy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Dysk SSD (półprzewodnikowy) o minimalnej pojemności 2TB (2048GB).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  <w:lang w:val="en-GB"/>
              </w:rPr>
            </w:pP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GB"/>
              </w:rPr>
              <w:t>Interfejs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GB"/>
              </w:rPr>
              <w:t xml:space="preserve">: minimum PCI Express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GB"/>
              </w:rPr>
              <w:t>NVMe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GB"/>
              </w:rPr>
              <w:t xml:space="preserve"> 4.0 x4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GB"/>
              </w:rPr>
              <w:t>typu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GB"/>
              </w:rPr>
              <w:t xml:space="preserve"> M.2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Minimalna deklarowana przez producenta szybkość zapisu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sekwencyjnego: 7000MB/s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Minimalna deklarowana przez producenta szybkość odczytu sekwencyjnego: 7000MB/s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Całkowita liczba zapisanych bajtów (TBW): minimum 1500TB.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Rodzaj zastosowanej pamięci NAND Flash: MLC lub TLC.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Pamięć DRAM Cache min 2048MB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Oferowany dysk musi być w pełni kompatybilny z oferowaną płytą główną. 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Karta graficzna 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Zapewniająca rozdzielczość 4K (3840x2160), wydzielona pamięć RAM, pozwalająca na podłączenie trzech monitorów.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Rodzaje wejść/wyjść: 1x HDMI, 2xDP lub 2x HDMI, 1xDP.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Zamawiający uzna zaoferowanie karty graficznej zintegrowanej z procesorem lub płytą główną jeżeli spełnione zostaną również pozostałe , wyspecyfikowane parametry dotyczące karty graficznej takie jak rozdzielczość, wydzielona pamięć RAM i możliwość podłączenia trzech monitorów. 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Karta dźwiękowa 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Zintegrowana z płytą główną, co najmniej w standardzie 5.1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Karta sieciowa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Ethernet 10/100/1000/2500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Mbit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/s, RJ-45, karta zintegrowana z płytą główną. 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Bezpieczeństwo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Moduł TPM 2.0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Obudowa 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Typu Tower ATX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1x wejście mikrofonowe typu Jack 3,5mm na panelu przednim.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1x wyjście słuchawkowe typu Jack 3,5mm na panelu przednim.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Co najmniej 1x USB 3.0 oraz 1x USB 2.0 wyprowadzone na panelu przednim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Konstrukcja obudowy musi umożliwiać instalację co najmniej dwóch napędów wewnętrznych 3,5”.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Zasilacz umieszczony na górze obudowy.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Wykonana z metalu, tworzywa sztucznego. Bez elementów przeźroczystych wykonanych ze szkła lub plexiglasu. Kolor dominujący czarny lub szary. 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Zasilanie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Zasilacz 230V ± 10%, 50Hz o minimalnej mocy 600W, sprawność zasilacza co najmniej 85% przy 20, 50 i 100 % obciążeniu (potwierdzony stosownym certyfikatem – minimum 80 Plus </w:t>
            </w:r>
            <w:proofErr w:type="spellStart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Bronze</w:t>
            </w:r>
            <w:proofErr w:type="spellEnd"/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).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lastRenderedPageBreak/>
              <w:t>Rodzaj PFC: aktywne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Minimalna ilość złącz zasilania: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1 x 24-pin (20+4) ATX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  <w:lang w:val="en-US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US"/>
              </w:rPr>
              <w:t>1 x 4+4-pin ATX/EPS12V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  <w:lang w:val="en-US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  <w:lang w:val="en-US"/>
              </w:rPr>
              <w:t>1 x 4-pin MOLEX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4 x 5-pin SATA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2 x PCI-E 2.0 6+2 (8) pin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Kabel zasilający – wtyczka standard europejski. 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Zainstalowane oprogramowanie systemowe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Licencja bezterminowa na system operacyjny Microsoft Windows 11 Pro 64bit PL w najnowszej dostępnej wersji lub równoważny.</w:t>
            </w:r>
          </w:p>
        </w:tc>
      </w:tr>
      <w:tr w:rsidR="00F42C8D" w:rsidRPr="00F42C8D" w:rsidTr="00E06561">
        <w:tc>
          <w:tcPr>
            <w:tcW w:w="540" w:type="dxa"/>
          </w:tcPr>
          <w:p w:rsidR="00F42C8D" w:rsidRPr="00F42C8D" w:rsidRDefault="00F42C8D" w:rsidP="00F42C8D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Fira Sans" w:eastAsia="Times New Roman" w:hAnsi="Fira Sans" w:cs="Times New Roman"/>
                <w:sz w:val="19"/>
                <w:szCs w:val="19"/>
              </w:rPr>
            </w:pPr>
          </w:p>
        </w:tc>
        <w:tc>
          <w:tcPr>
            <w:tcW w:w="1693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Gwarancja, naprawy gwarancyjne</w:t>
            </w:r>
          </w:p>
        </w:tc>
        <w:tc>
          <w:tcPr>
            <w:tcW w:w="7118" w:type="dxa"/>
          </w:tcPr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Co najmniej 36 miesięcy gwarancji na: procesor, płytę główną.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Co najmniej 60 miesięcy gwarancji na: dysk SSD, pamięć RAM.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Na pozostałe podzespoły co najmniej 24 miesięcy gwarancji.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Wykonawca na własny koszt zapewni transport urządzeń do i z serwisu. </w:t>
            </w:r>
          </w:p>
          <w:p w:rsidR="00F42C8D" w:rsidRPr="00F42C8D" w:rsidRDefault="00F42C8D" w:rsidP="00F42C8D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F42C8D">
              <w:rPr>
                <w:rFonts w:ascii="Fira Sans" w:eastAsia="Times New Roman" w:hAnsi="Fira Sans" w:cs="Times New Roman"/>
                <w:sz w:val="19"/>
                <w:szCs w:val="19"/>
              </w:rPr>
              <w:t>Korzystanie przez Zamawiającego z usług gwarancyjnych nie wyłącza uprawnień Zamawiającego z tytułu gwarancji udzielonych przez producentów sprzętu.</w:t>
            </w:r>
          </w:p>
        </w:tc>
      </w:tr>
    </w:tbl>
    <w:p w:rsidR="00F42C8D" w:rsidRPr="00F42C8D" w:rsidRDefault="00F42C8D" w:rsidP="00F42C8D">
      <w:pPr>
        <w:spacing w:after="0" w:line="240" w:lineRule="auto"/>
        <w:rPr>
          <w:rFonts w:ascii="Fira Sans" w:eastAsia="Times New Roman" w:hAnsi="Fira Sans" w:cs="Times New Roman"/>
          <w:sz w:val="19"/>
          <w:szCs w:val="19"/>
        </w:rPr>
      </w:pPr>
    </w:p>
    <w:p w:rsidR="00F42C8D" w:rsidRDefault="00F42C8D" w:rsidP="00F42C8D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p w:rsidR="00F42C8D" w:rsidRPr="002C033C" w:rsidRDefault="00F42C8D" w:rsidP="003D2C7C">
      <w:pPr>
        <w:spacing w:after="0" w:line="240" w:lineRule="auto"/>
        <w:jc w:val="both"/>
        <w:rPr>
          <w:rFonts w:ascii="Fira Sans" w:eastAsia="Times New Roman" w:hAnsi="Fira Sans" w:cs="Calibri"/>
          <w:b/>
          <w:sz w:val="19"/>
          <w:szCs w:val="19"/>
        </w:rPr>
      </w:pPr>
      <w:r w:rsidRPr="002C033C">
        <w:rPr>
          <w:rFonts w:ascii="Fira Sans" w:eastAsia="Times New Roman" w:hAnsi="Fira Sans" w:cs="Calibri"/>
          <w:b/>
          <w:sz w:val="19"/>
          <w:szCs w:val="19"/>
        </w:rPr>
        <w:t>Warunki równoważności dla Windows 11 Professional 64bit PL</w:t>
      </w:r>
    </w:p>
    <w:p w:rsidR="00F42C8D" w:rsidRPr="002C033C" w:rsidRDefault="00F42C8D" w:rsidP="003D2C7C">
      <w:pPr>
        <w:spacing w:after="0" w:line="240" w:lineRule="auto"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Równoważne Oprogramowanie musi spełniać następujące wymagania poprzez wbudowane mechanizmy, bez użycia dodatkowych aplikacji.</w:t>
      </w:r>
    </w:p>
    <w:p w:rsidR="00F42C8D" w:rsidRPr="002C033C" w:rsidRDefault="00F42C8D" w:rsidP="003D2C7C">
      <w:pPr>
        <w:spacing w:after="0" w:line="240" w:lineRule="auto"/>
        <w:jc w:val="both"/>
        <w:rPr>
          <w:rFonts w:ascii="Fira Sans" w:eastAsia="Times New Roman" w:hAnsi="Fira Sans" w:cs="Calibri"/>
          <w:sz w:val="19"/>
          <w:szCs w:val="19"/>
        </w:rPr>
      </w:pPr>
    </w:p>
    <w:p w:rsidR="00F42C8D" w:rsidRPr="002C033C" w:rsidRDefault="00F42C8D" w:rsidP="003D2C7C">
      <w:pPr>
        <w:spacing w:after="0" w:line="240" w:lineRule="auto"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Oprogramowanie typu Windows 11 Professional 64bit PL w najnowszej dostępnej wersji lub równoważne, spełniające łącznie poniższe warunki: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operacyjny z graficznym interfejsem użytkownika.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operacyjny musi pozwalać na instalację, uruchomienie i pracę z aplikacjami MS Office 2010, 2013, 2016, 2019, 2024. Nie jest dopuszczalne uruchamianie wymienionych aplikacji poprzez mechanizm wirtualizacji lub aplikacje pośredniczące.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musi udostępniać dwa rodzaje graficznego interfejsu użytkownika: klasyczny, umożliwiający obsługę przy pomocy klawiatury i myszy, dotykowy umożliwiający sterowanie dotykiem na urządzeniach typu tablet lub monitorach dotykowych.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Interfejsy użytkownika dostępne w wielu językach do wyboru – w tym polskim i angielskim.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Zlokalizowane w języku polskim, co najmniej następujące elementy: menu, odtwarzacz multimediów, pomoc, komunikaty systemowe.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pomocy w języku polskim.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Graficzne środowisko instalacji i konfiguracji dostępne w języku polskim.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Możliwość dokonywania bezpłatnych aktualizacji i poprawek w ramach wersji systemu operacyjnego poprzez Internet, mechanizmem udostępnianym przez producenta systemu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 xml:space="preserve">z możliwością wyboru instalowanych poprawek oraz mechanizmem sprawdzającym, które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>z poprawek są potrzebne.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dokonywania aktualizacji i poprawek systemu poprzez mechanizm zarządzany przez administratora.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Dostępność bezpłatnych biuletynów bezpieczeństwa związanych z działaniem systemu operacyjnego.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Wbudowana zapora internetowa (firewall) dla ochrony połączeń internetowych; zintegrowana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>z systemem konsola do zarządzania ustawieniami zapory i regułami IP v4 i v6.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Wbudowane mechanizmy ochrony antywirusowej i przeciw złośliwemu oprogramowaniu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 xml:space="preserve">z zapewnionymi bezpłatnymi aktualizacjami. 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dla większości powszechnie używanych urządzeń peryferyjnych (drukarek, urządzeń sieciowych, standardów USB,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Plug&amp;Play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, Wi-Fi).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Funkcjonalność automatycznej zmiany domyślnej drukarki w zależności od sieci, do której podłączony jest komputer.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zarządzania stacją roboczą poprzez polityki grupowe – przez politykę rozumiemy zestaw reguł definiujących lub ograniczających funkcjonalność systemu lub aplikacji.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Rozbudowane, definiowalne polityki bezpieczeństwa – polityki dla systemu operacyjnego i dla wskazanych aplikacji.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zdalnej automatycznej instalacji, konfiguracji, administrowania oraz aktualizowania systemu, zgodnie z określonymi uprawnieniami poprzez polityki grupowe.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lastRenderedPageBreak/>
        <w:t>Zabezpieczony hasłem hierarchiczny dostęp do systemu, konta i profile użytkowników zarządzane zdalnie; praca systemu w trybie ochrony kont użytkowników.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Zintegrowany z systemem moduł wyszukiwania informacji (plików różnego typu, tekstów, metadanych) dostępny z kilku poziomów:</w:t>
      </w:r>
    </w:p>
    <w:p w:rsidR="00F42C8D" w:rsidRPr="002C033C" w:rsidRDefault="00F42C8D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poziom menu,</w:t>
      </w:r>
    </w:p>
    <w:p w:rsidR="00F42C8D" w:rsidRPr="002C033C" w:rsidRDefault="00F42C8D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poziom otwartego okna systemu operacyjnego.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wyszukiwania oparty na konfigurowalnym przez użytkownika module indeksacji zasobów lokalnych.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Zintegrowany z systemem operacyjnym moduł synchronizacji komputera z urządzeniami zewnętrznymi.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przystosowania stanowiska dla osób z niepełnosprawnością (np. słabo widzących).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dla IPSEC oparte na politykach – wdrażanie IPSEC oparte na zestawach reguł definiujących ustawienia zarządzanych w sposób centralny.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Mechanizmy logowania do domeny w oparciu o:</w:t>
      </w:r>
    </w:p>
    <w:p w:rsidR="00F42C8D" w:rsidRPr="002C033C" w:rsidRDefault="00F42C8D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Login i hasło,</w:t>
      </w:r>
    </w:p>
    <w:p w:rsidR="00F42C8D" w:rsidRPr="002C033C" w:rsidRDefault="00F42C8D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Karty z certyfikatami (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smartcard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),</w:t>
      </w:r>
    </w:p>
    <w:p w:rsidR="00F42C8D" w:rsidRPr="002C033C" w:rsidRDefault="00F42C8D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Wirtualne karty (logowanie w oparciu o certyfikat chroniony poprzez moduł TPM),</w:t>
      </w:r>
    </w:p>
    <w:p w:rsidR="00F42C8D" w:rsidRPr="002C033C" w:rsidRDefault="00F42C8D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Wirtualną tożsamość użytkownika potwierdzaną za pomocą usług katalogowych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 xml:space="preserve">i konfigurowanej na urządzeniu. Użytkownik loguje się do urządzenia poprzez PIN lub cechy biometryczne, a następnie uruchamiany jest proces uwierzytelnienia wykorzystujący link do certyfikatu lub pary asymetrycznych kluczy generowanych przez moduł TPM. Dostawcy tożsamości wykorzystują klucz publiczny, zarejestrowany w usłudze katalogowej do walidacji użytkownika poprzez jego mapowanie do klucza prywatnego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>i dostarczenie hasła jednorazowego (OTP) lub inny mechanizm, jak np. telefon do użytkownika z żądaniem PIN. Mechanizm musi być zgodny ze specyfikacją FIDO.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Mechanizmy wieloelementowego uwierzytelniania.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dla algorytmów Suite B (RFC 4869).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dla uwierzytelniania na bazie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Kerberos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v. 5.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do uwierzytelnienia urządzenia na bazie certyfikatu.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wbudowanej zapory ogniowej dla Internet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Key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Exchange v. 2 (IKEv2) dla warstwy transportowej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IPsec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Wbudowane narzędzia służące do administracji, do wykonywania kopii zapasowych polityk i ich odtwarzania oraz generowania raportów z ustawień polityk.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dla środowisk Java i .NET Framework 4.x – możliwość uruchomienia aplikacji działających we wskazanych środowiskach.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dla JScript i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VBScript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– możliwość uruchamiania interpretera poleceń.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Zdalna pomoc i współdzielenie aplikacji – możliwość zdalnego przejęcia sesji zalogowanego użytkownika celem rozwiązania problemu z komputerem.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Rozwiązanie służące do automatycznego zbudowania obrazu systemu wraz z aplikacjami. Obraz systemu służyć ma do automatycznego upowszechnienia systemu operacyjnego inicjowanego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>i wykonywanego w całości poprzez sieć komputerową.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Rozwiązanie umożliwiające wdrożenie nowego obrazu poprzez zdalną instalację.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Transakcyjny system plików pozwalający na stosowanie przydziałów (ang.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quota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) na dysku dla użytkowników oraz zwiększający niezawodność i pozwalający tworzyć kopie zapasowe.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Zarządzanie kontami użytkowników sieci oraz urządzeniami sieciowymi tj. drukarki, modemy, woluminy dyskowe, usługi katalogowe.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Oprogramowanie dla tworzenia kopii zapasowych (Backup); automatyczne wykonywanie kopii plików z możliwością automatycznego przywrócenia wersji wcześniejszej.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przywracania obrazu plików systemowych do uprzednio zapisanej postaci.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Identyfikacja sieci komputerowych, do których jest podłączony system operacyjny, zapamiętywanie ustawień i przypisywanie do min. 3 kategorii bezpieczeństwa (z predefiniowanymi odpowiednio do kategorii ustawieniami zapory sieciowej, udostępniania plików itp.).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blokowania lub dopuszczania dowolnych urządzeń peryferyjnych za pomocą polityk grupowych (np. przy użyciu numerów identyfikacyjnych urządzeń).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Mechanizm szyfrowania dysków wewnętrznych i zewnętrznych z możliwością szyfrowania ograniczonego do danych użytkownika.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Wbudowane w system narzędzie do szyfrowania partycji systemowych komputera, z możliwością przechowywania certyfikatów w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mikrochipie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TPM (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Trusted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Platform Module) w wersji minimum 2 lub na kluczach pamięci przenośnej USB.</w:t>
      </w:r>
    </w:p>
    <w:p w:rsidR="00F42C8D" w:rsidRPr="002C033C" w:rsidRDefault="00F42C8D" w:rsidP="00F42C8D">
      <w:pPr>
        <w:numPr>
          <w:ilvl w:val="0"/>
          <w:numId w:val="5"/>
        </w:numPr>
        <w:spacing w:after="0" w:line="240" w:lineRule="auto"/>
        <w:contextualSpacing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lastRenderedPageBreak/>
        <w:t>Możliwość tworzenia i przechowywania kopii zapasowych kluczy odzyskiwania do szyfrowania partycji w usługach katalogowych.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Możliwość instalowania dodatkowych języków interfejsu systemu operacyjnego oraz możliwość zmiany języka bez konieczności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reinstalacji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systemu.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szyfrowania sieci bezprzewodowych w standardzie Wi-Fi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Protected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Access (WPA) 3.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Wbudowane w system narzędzie do szyfrowania dysków przenośnych, z możliwością centralnego zarządzania poprzez polityki grupowe, pozwalające na wymuszenie szyfrowania dysków przenośnych,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bibliotek i funkcji API DirectX w wersji 12.</w:t>
      </w:r>
    </w:p>
    <w:p w:rsidR="00F42C8D" w:rsidRPr="002C033C" w:rsidRDefault="00F42C8D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architektury 64-bitowej.</w:t>
      </w:r>
    </w:p>
    <w:p w:rsidR="00F42C8D" w:rsidRDefault="00F42C8D" w:rsidP="00F42C8D">
      <w:pPr>
        <w:spacing w:after="160" w:line="259" w:lineRule="auto"/>
        <w:rPr>
          <w:rFonts w:ascii="Fira Sans" w:eastAsia="Times New Roman" w:hAnsi="Fira Sans" w:cs="Times New Roman"/>
          <w:sz w:val="19"/>
          <w:szCs w:val="19"/>
        </w:rPr>
      </w:pPr>
    </w:p>
    <w:p w:rsidR="00BA4869" w:rsidRPr="00BA4869" w:rsidRDefault="00800D8E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>
        <w:rPr>
          <w:rFonts w:ascii="Fira Sans" w:eastAsia="Times New Roman" w:hAnsi="Fira Sans" w:cs="Calibri"/>
          <w:b/>
          <w:sz w:val="19"/>
          <w:szCs w:val="19"/>
        </w:rPr>
        <w:t>Tabela 2</w:t>
      </w:r>
      <w:r w:rsidR="00BA4869" w:rsidRPr="00BA4869">
        <w:rPr>
          <w:rFonts w:ascii="Fira Sans" w:eastAsia="Times New Roman" w:hAnsi="Fira Sans" w:cs="Calibri"/>
          <w:b/>
          <w:sz w:val="19"/>
          <w:szCs w:val="19"/>
        </w:rPr>
        <w:t xml:space="preserve">. Monitor panoramiczny </w:t>
      </w:r>
      <w:r w:rsidR="00CE3F68">
        <w:rPr>
          <w:rFonts w:ascii="Fira Sans" w:eastAsia="Times New Roman" w:hAnsi="Fira Sans" w:cs="Calibri"/>
          <w:b/>
          <w:sz w:val="19"/>
          <w:szCs w:val="19"/>
        </w:rPr>
        <w:t>T</w:t>
      </w:r>
      <w:r w:rsidR="00BA4869" w:rsidRPr="00BA4869">
        <w:rPr>
          <w:rFonts w:ascii="Fira Sans" w:eastAsia="Times New Roman" w:hAnsi="Fira Sans" w:cs="Calibri"/>
          <w:b/>
          <w:sz w:val="19"/>
          <w:szCs w:val="19"/>
        </w:rPr>
        <w:t>yp 1 – 5 sztuk</w:t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1704"/>
        <w:gridCol w:w="7126"/>
      </w:tblGrid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Wyświetlacz monitora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Kolorowy o rozmiarze minimum 23,5”, maksimum 24”, proporcje matrycy 16:9, Full HD, rozdzielczość fizyczna 1920x1080 przy min. 75Hz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Współczynnik kontrastu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1000:1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Rodzaj ekranu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IPS z podświetlaniem LED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vMerge w:val="restart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Parametry monitora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czas reakcji matrycy – nie więcej niż 4 ms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jasność – min. 250 cd/m2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zakres regulacji: wysokość,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pivot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 (rotacja), obrót, pochył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Funkcje dodatkowe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Redukcja niebieskiego światła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Redukcja migotania (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Flicker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free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)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Obsługa technologii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Adaptive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Sync</w:t>
            </w:r>
            <w:proofErr w:type="spellEnd"/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Wbudowane głośniki stereo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Złącza monitora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min. 1 x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DisplayPort</w:t>
            </w:r>
            <w:proofErr w:type="spellEnd"/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 x HDMI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 x VGA (D-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Sub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)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 x DVI-D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Kable logiczne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 x HDMI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 x VGA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min. 1 x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DisplayPort</w:t>
            </w:r>
            <w:proofErr w:type="spellEnd"/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Zasilanie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230V ± 10%, 50Hz,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Zasilacz wewnętrzny (wbudowany)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kabel zasilający wtyczka standard europejski, zakończony złączem typu 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IEC 60320 (dawniej IEC 320) C13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Naprawy gwarancyjne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Co najmniej 36 miesięcy. 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Wykonawca na własny koszt zapewni transport urządzeń do i z serwisu.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Korzystanie przez Zamawiającego z usług gwarancyjnych nie wyłącza uprawnień Zamawiającego z tytułu gwarancji udzielonych przez producentów sprzętu.</w:t>
            </w:r>
          </w:p>
        </w:tc>
      </w:tr>
    </w:tbl>
    <w:p w:rsidR="00BA4869" w:rsidRPr="00BA4869" w:rsidRDefault="00BA4869" w:rsidP="00BA4869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p w:rsidR="00BA4869" w:rsidRPr="00BA4869" w:rsidRDefault="00BA4869" w:rsidP="00BA4869">
      <w:pPr>
        <w:spacing w:after="160" w:line="259" w:lineRule="auto"/>
        <w:rPr>
          <w:rFonts w:ascii="Fira Sans" w:eastAsia="Times New Roman" w:hAnsi="Fira Sans" w:cs="Calibri"/>
          <w:b/>
          <w:sz w:val="19"/>
          <w:szCs w:val="19"/>
        </w:rPr>
      </w:pPr>
      <w:r w:rsidRPr="00BA4869">
        <w:rPr>
          <w:rFonts w:ascii="Fira Sans" w:eastAsia="Times New Roman" w:hAnsi="Fira Sans" w:cs="Calibri"/>
          <w:b/>
          <w:sz w:val="19"/>
          <w:szCs w:val="19"/>
        </w:rPr>
        <w:br w:type="page"/>
      </w:r>
    </w:p>
    <w:p w:rsidR="00BA4869" w:rsidRPr="00BA4869" w:rsidRDefault="00800D8E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>
        <w:rPr>
          <w:rFonts w:ascii="Fira Sans" w:eastAsia="Times New Roman" w:hAnsi="Fira Sans" w:cs="Calibri"/>
          <w:b/>
          <w:sz w:val="19"/>
          <w:szCs w:val="19"/>
        </w:rPr>
        <w:lastRenderedPageBreak/>
        <w:t>Tabela 3</w:t>
      </w:r>
      <w:r w:rsidR="00BA4869" w:rsidRPr="00BA4869">
        <w:rPr>
          <w:rFonts w:ascii="Fira Sans" w:eastAsia="Times New Roman" w:hAnsi="Fira Sans" w:cs="Calibri"/>
          <w:b/>
          <w:sz w:val="19"/>
          <w:szCs w:val="19"/>
        </w:rPr>
        <w:t xml:space="preserve">. Monitor panoramiczny </w:t>
      </w:r>
      <w:r w:rsidR="00CE3F68">
        <w:rPr>
          <w:rFonts w:ascii="Fira Sans" w:eastAsia="Times New Roman" w:hAnsi="Fira Sans" w:cs="Calibri"/>
          <w:b/>
          <w:sz w:val="19"/>
          <w:szCs w:val="19"/>
        </w:rPr>
        <w:t>T</w:t>
      </w:r>
      <w:r w:rsidR="00BA4869" w:rsidRPr="00BA4869">
        <w:rPr>
          <w:rFonts w:ascii="Fira Sans" w:eastAsia="Times New Roman" w:hAnsi="Fira Sans" w:cs="Calibri"/>
          <w:b/>
          <w:sz w:val="19"/>
          <w:szCs w:val="19"/>
        </w:rPr>
        <w:t xml:space="preserve">yp 2 – </w:t>
      </w:r>
      <w:r w:rsidR="00CE3F68">
        <w:rPr>
          <w:rFonts w:ascii="Fira Sans" w:eastAsia="Times New Roman" w:hAnsi="Fira Sans" w:cs="Calibri"/>
          <w:b/>
          <w:sz w:val="19"/>
          <w:szCs w:val="19"/>
        </w:rPr>
        <w:t>45</w:t>
      </w:r>
      <w:r w:rsidR="00BA4869" w:rsidRPr="00BA4869">
        <w:rPr>
          <w:rFonts w:ascii="Fira Sans" w:eastAsia="Times New Roman" w:hAnsi="Fira Sans" w:cs="Calibri"/>
          <w:b/>
          <w:sz w:val="19"/>
          <w:szCs w:val="19"/>
        </w:rPr>
        <w:t xml:space="preserve"> sztuk</w:t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1704"/>
        <w:gridCol w:w="7126"/>
      </w:tblGrid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Wyświetlacz monitora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Kolorowy o rozmiarze minimum 23,5”, maksimum 24”, proporcje matrycy 16:9, Full HD, rozdzielczość fizyczna 1920x1080 przy min. 100Hz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Współczynnik kontrastu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1000:1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Rodzaj ekranu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IPS z podświetlaniem LED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vMerge w:val="restart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Parametry monitora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czas reakcji matrycy – nie więcej niż 1 ms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jasność – min. 250 cd/m2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zakres regulacji: wysokość,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pivot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 (rotacja), obrót, pochył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Funkcje dodatkowe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Redukcja niebieskiego światła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Flicker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free</w:t>
            </w:r>
            <w:proofErr w:type="spellEnd"/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Obsługa technologii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Adaptive</w:t>
            </w:r>
            <w:proofErr w:type="spellEnd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Sync</w:t>
            </w:r>
            <w:proofErr w:type="spellEnd"/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Złącza monitora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min. 1 x </w:t>
            </w:r>
            <w:proofErr w:type="spellStart"/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DisplayPort</w:t>
            </w:r>
            <w:proofErr w:type="spellEnd"/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 x HDMI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Kable logiczne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min. 1 x HDMI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Zasilanie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230V ± 10%, 50Hz,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Zasilacz wewnętrzny (wbudowany)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kabel zasilający wtyczka standard europejski, zakończony złączem typu 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IEC 60320 (dawniej IEC 320) C13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8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Naprawy gwarancyjne</w:t>
            </w:r>
          </w:p>
        </w:tc>
        <w:tc>
          <w:tcPr>
            <w:tcW w:w="7126" w:type="dxa"/>
            <w:shd w:val="clear" w:color="auto" w:fill="auto"/>
            <w:vAlign w:val="center"/>
          </w:tcPr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 xml:space="preserve">Co najmniej 36 miesięcy. 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Wykonawca na własny koszt zapewni transport urządzeń do i z serwisu.</w:t>
            </w:r>
          </w:p>
          <w:p w:rsidR="00BA4869" w:rsidRPr="00BA4869" w:rsidRDefault="00BA4869" w:rsidP="00BA4869">
            <w:pPr>
              <w:spacing w:after="0" w:line="240" w:lineRule="auto"/>
              <w:rPr>
                <w:rFonts w:ascii="Fira Sans" w:eastAsia="Times New Roman" w:hAnsi="Fira Sans" w:cs="Calibri"/>
                <w:sz w:val="20"/>
                <w:szCs w:val="20"/>
              </w:rPr>
            </w:pPr>
            <w:r w:rsidRPr="00BA4869">
              <w:rPr>
                <w:rFonts w:ascii="Fira Sans" w:eastAsia="Times New Roman" w:hAnsi="Fira Sans" w:cs="Calibri"/>
                <w:sz w:val="20"/>
                <w:szCs w:val="20"/>
              </w:rPr>
              <w:t>Korzystanie przez Zamawiającego z usług gwarancyjnych nie wyłącza uprawnień Zamawiającego z tytułu gwarancji udzielonych przez producentów sprzętu.</w:t>
            </w:r>
          </w:p>
        </w:tc>
      </w:tr>
    </w:tbl>
    <w:p w:rsidR="00BA4869" w:rsidRPr="00BA4869" w:rsidRDefault="00BA4869" w:rsidP="00BA48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Times New Roman"/>
          <w:b/>
          <w:sz w:val="19"/>
          <w:szCs w:val="19"/>
        </w:rPr>
      </w:pPr>
    </w:p>
    <w:p w:rsidR="00F42C8D" w:rsidRDefault="00F42C8D">
      <w:pPr>
        <w:rPr>
          <w:rFonts w:ascii="Fira Sans" w:eastAsia="Times New Roman" w:hAnsi="Fira Sans" w:cs="Times New Roman"/>
          <w:b/>
          <w:sz w:val="19"/>
          <w:szCs w:val="19"/>
        </w:rPr>
      </w:pPr>
    </w:p>
    <w:p w:rsidR="00BA4869" w:rsidRDefault="00BA4869">
      <w:pPr>
        <w:spacing w:after="160" w:line="259" w:lineRule="auto"/>
        <w:rPr>
          <w:rFonts w:ascii="Fira Sans" w:eastAsia="Times New Roman" w:hAnsi="Fira Sans" w:cs="Times New Roman"/>
          <w:b/>
          <w:sz w:val="19"/>
          <w:szCs w:val="19"/>
        </w:rPr>
      </w:pPr>
      <w:r>
        <w:rPr>
          <w:rFonts w:ascii="Fira Sans" w:eastAsia="Times New Roman" w:hAnsi="Fira Sans" w:cs="Times New Roman"/>
          <w:b/>
          <w:sz w:val="19"/>
          <w:szCs w:val="19"/>
        </w:rPr>
        <w:br w:type="page"/>
      </w:r>
    </w:p>
    <w:p w:rsidR="00FC6A56" w:rsidRDefault="00FC6A56" w:rsidP="00E06561">
      <w:pPr>
        <w:spacing w:after="0" w:line="240" w:lineRule="auto"/>
        <w:rPr>
          <w:rFonts w:ascii="Fira Sans" w:hAnsi="Fira Sans"/>
          <w:b/>
          <w:sz w:val="24"/>
          <w:szCs w:val="24"/>
        </w:rPr>
      </w:pPr>
      <w:r w:rsidRPr="00FC6A56">
        <w:rPr>
          <w:rFonts w:ascii="Fira Sans" w:hAnsi="Fira Sans"/>
          <w:b/>
          <w:sz w:val="24"/>
          <w:szCs w:val="24"/>
        </w:rPr>
        <w:lastRenderedPageBreak/>
        <w:t xml:space="preserve">Część </w:t>
      </w:r>
      <w:r>
        <w:rPr>
          <w:rFonts w:ascii="Fira Sans" w:hAnsi="Fira Sans"/>
          <w:b/>
          <w:sz w:val="24"/>
          <w:szCs w:val="24"/>
        </w:rPr>
        <w:t>I</w:t>
      </w:r>
      <w:r w:rsidRPr="00FC6A56">
        <w:rPr>
          <w:rFonts w:ascii="Fira Sans" w:hAnsi="Fira Sans"/>
          <w:b/>
          <w:sz w:val="24"/>
          <w:szCs w:val="24"/>
        </w:rPr>
        <w:t>I. Zamówienia</w:t>
      </w:r>
    </w:p>
    <w:p w:rsidR="00FC6A56" w:rsidRDefault="00FC6A56" w:rsidP="00E06561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p w:rsidR="00E06561" w:rsidRPr="002C033C" w:rsidRDefault="00E06561" w:rsidP="00E06561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>
        <w:rPr>
          <w:rFonts w:ascii="Fira Sans" w:eastAsia="Times New Roman" w:hAnsi="Fira Sans" w:cs="Calibri"/>
          <w:b/>
          <w:sz w:val="19"/>
          <w:szCs w:val="19"/>
        </w:rPr>
        <w:t>Tabela 1</w:t>
      </w:r>
      <w:r w:rsidRPr="002C033C">
        <w:rPr>
          <w:rFonts w:ascii="Fira Sans" w:eastAsia="Times New Roman" w:hAnsi="Fira Sans" w:cs="Calibri"/>
          <w:b/>
          <w:sz w:val="19"/>
          <w:szCs w:val="19"/>
        </w:rPr>
        <w:t xml:space="preserve">. Komputer przenośny –  </w:t>
      </w:r>
      <w:r w:rsidR="00CE3F68">
        <w:rPr>
          <w:rFonts w:ascii="Fira Sans" w:eastAsia="Times New Roman" w:hAnsi="Fira Sans" w:cs="Calibri"/>
          <w:b/>
          <w:sz w:val="19"/>
          <w:szCs w:val="19"/>
        </w:rPr>
        <w:t>34</w:t>
      </w:r>
      <w:r w:rsidRPr="002C033C">
        <w:rPr>
          <w:rFonts w:ascii="Fira Sans" w:eastAsia="Times New Roman" w:hAnsi="Fira Sans" w:cs="Calibri"/>
          <w:b/>
          <w:sz w:val="19"/>
          <w:szCs w:val="19"/>
        </w:rPr>
        <w:t xml:space="preserve"> sztuk</w:t>
      </w:r>
    </w:p>
    <w:p w:rsidR="00E06561" w:rsidRPr="002C033C" w:rsidRDefault="00E06561" w:rsidP="00E06561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1704"/>
        <w:gridCol w:w="7126"/>
      </w:tblGrid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561" w:rsidRPr="002C033C" w:rsidRDefault="00E06561" w:rsidP="00E06561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561" w:rsidRPr="002C033C" w:rsidRDefault="00E06561" w:rsidP="00E06561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561" w:rsidRPr="002C033C" w:rsidRDefault="00E06561" w:rsidP="00E06561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Procesor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Procesor 64-bitowy, minimum 4-rdzeniowy i 8-wątkowy o wydajności minimum 14000 pkt w teście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PassMark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Average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 CPU Mark (</w:t>
            </w:r>
            <w:hyperlink r:id="rId11" w:history="1">
              <w:r w:rsidRPr="002C033C">
                <w:rPr>
                  <w:rFonts w:ascii="Fira Sans" w:eastAsia="Times New Roman" w:hAnsi="Fira Sans" w:cs="Calibri"/>
                  <w:color w:val="0563C1" w:themeColor="hyperlink"/>
                  <w:sz w:val="19"/>
                  <w:szCs w:val="19"/>
                  <w:u w:val="single"/>
                  <w:lang w:eastAsia="en-US"/>
                </w:rPr>
                <w:t>www.cpubenchmark.net</w:t>
              </w:r>
            </w:hyperlink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) (według stanu na dzień opublikowania ogłoszenia o zamówieniu).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Zamawiający uzna dla oferowanego procesora wynik testu jeżeli został on opublikowany na stronie </w:t>
            </w:r>
            <w:hyperlink r:id="rId12" w:history="1">
              <w:r w:rsidRPr="002C033C">
                <w:rPr>
                  <w:rFonts w:ascii="Fira Sans" w:eastAsia="Times New Roman" w:hAnsi="Fira Sans" w:cs="Calibri"/>
                  <w:color w:val="0563C1" w:themeColor="hyperlink"/>
                  <w:sz w:val="19"/>
                  <w:szCs w:val="19"/>
                  <w:u w:val="single"/>
                  <w:lang w:eastAsia="en-US"/>
                </w:rPr>
                <w:t>www.cpubenchmark.net</w:t>
              </w:r>
            </w:hyperlink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 lub został przeprowadzony zgodnie z procedurą testów zamieszczanych na stronie </w:t>
            </w:r>
            <w:hyperlink r:id="rId13" w:history="1">
              <w:r w:rsidRPr="002C033C">
                <w:rPr>
                  <w:rFonts w:ascii="Fira Sans" w:eastAsia="Times New Roman" w:hAnsi="Fira Sans" w:cs="Calibri"/>
                  <w:color w:val="0563C1" w:themeColor="hyperlink"/>
                  <w:sz w:val="19"/>
                  <w:szCs w:val="19"/>
                  <w:u w:val="single"/>
                  <w:lang w:eastAsia="en-US"/>
                </w:rPr>
                <w:t>www.cpubenchmark.net</w:t>
              </w:r>
            </w:hyperlink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 przez jednostkę niezależną od </w:t>
            </w:r>
            <w:r w:rsidR="00136B4A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wykon</w:t>
            </w: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awcy.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RAM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Min. 16 GB DDR5 SO-DIMM, częstotliwość pracy min. 5200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Mhz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.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Możliwość rozbudowy do min. 32GB. 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Ilość gniazd pamięci: 2 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Moduły pamięci nie mogą być wlutowane na płytę główną.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Dysk 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Dysk SSD o minimalnej pojemności 480 GB M.2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PCIe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NVMe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 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Możliwość montażu dodatkowego dysku M.2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Ekran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Kolorowy min.15,6”, matowy, rozdzielczość min. 1920x1080, 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podświetlenie LED, matryca w technologii IPS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Złącza zewnętrzne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DC-in (wejście zasilania) - 1 szt.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RJ-45 (LAN) - 1 szt.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Wyjście słuchawkowe/wejście mikrofonowe - 1 szt. 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USB 3.0 – min. 2 szt.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USB Typu-C (z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DisplayPort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 i Power Delivery) – min. 1 szt.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HDMI 2.0 - 1 szt.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Sieć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LAN 10/100/1000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Mbps</w:t>
            </w:r>
            <w:proofErr w:type="spellEnd"/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Moduł Bluetooth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Wi-Fi 802.11 b/g/n/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ac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/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ax</w:t>
            </w:r>
            <w:proofErr w:type="spellEnd"/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Dźwięk i multimedia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Zintegrowana karta graficzna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Zintegrowana karta dźwiękowa zgodna z Intel High Definition Audio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Wbudowany mikrofon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Wbudowane głośniki stereo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Wbudowana kamera min.1Mpix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Zasilanie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230 V, kabel zasilający wtyczka standard europejski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Bateria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Bateria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litowo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-polimerowa lub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litowo</w:t>
            </w:r>
            <w:proofErr w:type="spellEnd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-jonowa, min. 45 </w:t>
            </w:r>
            <w:proofErr w:type="spellStart"/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Wh</w:t>
            </w:r>
            <w:proofErr w:type="spellEnd"/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Klawiatura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Z wydzieloną klawiaturą numeryczną,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Klawiatura podświetlana.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Bezpieczeństwo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Moduł TPM 2.0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Zainstalowane oprogramowanie systemowe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2C033C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Preinstalowane oprogramowanie systemowe: </w:t>
            </w:r>
          </w:p>
          <w:p w:rsidR="00E06561" w:rsidRPr="002C033C" w:rsidRDefault="00E06561" w:rsidP="00E06561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2C033C">
              <w:rPr>
                <w:rFonts w:ascii="Fira Sans" w:eastAsia="Times New Roman" w:hAnsi="Fira Sans" w:cs="Times New Roman"/>
                <w:sz w:val="19"/>
                <w:szCs w:val="19"/>
              </w:rPr>
              <w:t>- Microsoft Windows 10 Professional PL 64-bit (z możliwością bezpłatnej aktualizacji do Windows 11</w:t>
            </w:r>
            <w:r w:rsidRPr="002C03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C033C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Professional), </w:t>
            </w:r>
          </w:p>
          <w:p w:rsidR="00E06561" w:rsidRPr="002C033C" w:rsidRDefault="00E06561" w:rsidP="00E06561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2C033C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lub </w:t>
            </w:r>
          </w:p>
          <w:p w:rsidR="00E06561" w:rsidRPr="002C033C" w:rsidRDefault="00E06561" w:rsidP="00E06561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2C033C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- Microsoft Windows 11 Professional PL 64-bit (z możliwością bezpłatnego obniżenia wersji do Windows 10 Professional), </w:t>
            </w:r>
          </w:p>
          <w:p w:rsidR="00E06561" w:rsidRPr="002C033C" w:rsidRDefault="00E06561" w:rsidP="00E06561">
            <w:pPr>
              <w:spacing w:after="0" w:line="240" w:lineRule="auto"/>
              <w:rPr>
                <w:rFonts w:ascii="Fira Sans" w:eastAsia="Times New Roman" w:hAnsi="Fira Sans" w:cs="Times New Roman"/>
                <w:strike/>
                <w:sz w:val="19"/>
                <w:szCs w:val="19"/>
              </w:rPr>
            </w:pPr>
            <w:r w:rsidRPr="002C033C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mające zapewnić funkcjonalność i współpracę ze środowiskiem sieciowym oraz aplikacyjnym funkcjonującym w resorcie statystyki, licencja bezterminowa, jednostanowiskowa. </w:t>
            </w:r>
          </w:p>
        </w:tc>
      </w:tr>
      <w:tr w:rsidR="00E06561" w:rsidRPr="002C033C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61" w:rsidRPr="002C033C" w:rsidRDefault="00E06561" w:rsidP="00E06561">
            <w:pPr>
              <w:numPr>
                <w:ilvl w:val="0"/>
                <w:numId w:val="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Gwarancja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Co najmniej 36 miesięcy. 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Wykonawca na własny koszt zapewni transport urządzeń do i z serwisu.</w:t>
            </w:r>
          </w:p>
          <w:p w:rsidR="00E06561" w:rsidRPr="002C033C" w:rsidRDefault="00E06561" w:rsidP="00E06561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2C033C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Korzystanie przez Zamawiającego z usług gwarancyjnych nie wyłącza uprawnień Zamawiającego z tytułu gwarancji udzielonych przez producentów sprzętu.</w:t>
            </w:r>
          </w:p>
        </w:tc>
      </w:tr>
    </w:tbl>
    <w:p w:rsidR="00E06561" w:rsidRPr="002C033C" w:rsidRDefault="00E06561" w:rsidP="003D2C7C">
      <w:pPr>
        <w:spacing w:after="0" w:line="240" w:lineRule="auto"/>
        <w:jc w:val="both"/>
        <w:rPr>
          <w:rFonts w:ascii="Fira Sans" w:eastAsia="Times New Roman" w:hAnsi="Fira Sans" w:cs="Calibri"/>
          <w:b/>
          <w:sz w:val="19"/>
          <w:szCs w:val="19"/>
        </w:rPr>
      </w:pPr>
      <w:r w:rsidRPr="002C033C">
        <w:rPr>
          <w:rFonts w:ascii="Fira Sans" w:eastAsia="Times New Roman" w:hAnsi="Fira Sans" w:cs="Calibri"/>
          <w:b/>
          <w:sz w:val="19"/>
          <w:szCs w:val="19"/>
        </w:rPr>
        <w:t>Warunki równoważności dla Windows 11 Professional 64bit PL</w:t>
      </w:r>
    </w:p>
    <w:p w:rsidR="00E06561" w:rsidRPr="002C033C" w:rsidRDefault="00E06561" w:rsidP="003D2C7C">
      <w:pPr>
        <w:spacing w:after="0" w:line="240" w:lineRule="auto"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Równoważne Oprogramowanie musi spełniać następujące wymagania poprzez wbudowane mechanizmy, bez użycia dodatkowych aplikacji.</w:t>
      </w:r>
    </w:p>
    <w:p w:rsidR="00E06561" w:rsidRPr="002C033C" w:rsidRDefault="00E06561" w:rsidP="003D2C7C">
      <w:pPr>
        <w:spacing w:after="0" w:line="240" w:lineRule="auto"/>
        <w:jc w:val="both"/>
        <w:rPr>
          <w:rFonts w:ascii="Fira Sans" w:eastAsia="Times New Roman" w:hAnsi="Fira Sans" w:cs="Calibri"/>
          <w:sz w:val="19"/>
          <w:szCs w:val="19"/>
        </w:rPr>
      </w:pPr>
    </w:p>
    <w:p w:rsidR="00E06561" w:rsidRPr="002C033C" w:rsidRDefault="00E06561" w:rsidP="003D2C7C">
      <w:pPr>
        <w:spacing w:after="0" w:line="240" w:lineRule="auto"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lastRenderedPageBreak/>
        <w:t>Oprogramowanie typu Windows 11 Professional 64bit PL w najnowszej dostępnej wersji lub równoważne, spełniające łącznie poniższe warunki: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operacyjny z graficznym interfejsem użytkownika.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operacyjny musi pozwalać na instalację, uruchomienie i pracę z aplikacjami MS Office 2010, 2013, 2016, 2019, 2024. Nie jest dopuszczalne uruchamianie wymienionych aplikacji poprzez mechanizm wirtualizacji lub aplikacje pośredniczące.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musi udostępniać dwa rodzaje graficznego interfejsu użytkownika: klasyczny, umożliwiający obsługę przy pomocy klawiatury i myszy, dotykowy umożliwiający sterowanie dotykiem na urządzeniach typu tablet lub monitorach dotykowych.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Interfejsy użytkownika dostępne w wielu językach do wyboru – w tym polskim i angielskim.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Zlokalizowane w języku polskim, co najmniej następujące elementy: menu, odtwarzacz multimediów, pomoc, komunikaty systemowe.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pomocy w języku polskim.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Graficzne środowisko instalacji i konfiguracji dostępne w języku polskim.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Możliwość dokonywania bezpłatnych aktualizacji i poprawek w ramach wersji systemu operacyjnego poprzez Internet, mechanizmem udostępnianym przez producenta systemu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 xml:space="preserve">z możliwością wyboru instalowanych poprawek oraz mechanizmem sprawdzającym, które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>z poprawek są potrzebne.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dokonywania aktualizacji i poprawek systemu poprzez mechanizm zarządzany przez administratora.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Dostępność bezpłatnych biuletynów bezpieczeństwa związanych z działaniem systemu operacyjnego.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Wbudowana zapora internetowa (firewall) dla ochrony połączeń internetowych; zintegrowana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>z systemem konsola do zarządzania ustawieniami zapory i regułami IP v4 i v6.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Wbudowane mechanizmy ochrony antywirusowej i przeciw złośliwemu oprogramowaniu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 xml:space="preserve">z zapewnionymi bezpłatnymi aktualizacjami. 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dla większości powszechnie używanych urządzeń peryferyjnych (drukarek, urządzeń sieciowych, standardów USB,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Plug&amp;Play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, Wi-Fi).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Funkcjonalność automatycznej zmiany domyślnej drukarki w zależności od sieci, do której podłączony jest komputer.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zarządzania stacją roboczą poprzez polityki grupowe – przez politykę rozumiemy zestaw reguł definiujących lub ograniczających funkcjonalność systemu lub aplikacji.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Rozbudowane, definiowalne polityki bezpieczeństwa – polityki dla systemu operacyjnego i dla wskazanych aplikacji.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zdalnej automatycznej instalacji, konfiguracji, administrowania oraz aktualizowania systemu, zgodnie z określonymi uprawnieniami poprzez polityki grupowe.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Zabezpieczony hasłem hierarchiczny dostęp do systemu, konta i profile użytkowników zarządzane zdalnie; praca systemu w trybie ochrony kont użytkowników.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Zintegrowany z systemem moduł wyszukiwania informacji (plików różnego typu, tekstów, metadanych) dostępny z kilku poziomów:</w:t>
      </w:r>
    </w:p>
    <w:p w:rsidR="00E06561" w:rsidRPr="002C033C" w:rsidRDefault="00E06561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poziom menu,</w:t>
      </w:r>
    </w:p>
    <w:p w:rsidR="00E06561" w:rsidRPr="002C033C" w:rsidRDefault="00E06561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poziom otwartego okna systemu operacyjnego.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System wyszukiwania oparty na konfigurowalnym przez użytkownika module indeksacji zasobów lokalnych.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Zintegrowany z systemem operacyjnym moduł synchronizacji komputera z urządzeniami zewnętrznymi.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przystosowania stanowiska dla osób z niepełnosprawnością (np. słabo widzących).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dla IPSEC oparte na politykach – wdrażanie IPSEC oparte na zestawach reguł definiujących ustawienia zarządzanych w sposób centralny.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Mechanizmy logowania do domeny w oparciu o:</w:t>
      </w:r>
    </w:p>
    <w:p w:rsidR="00E06561" w:rsidRPr="002C033C" w:rsidRDefault="00E06561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Login i hasło,</w:t>
      </w:r>
    </w:p>
    <w:p w:rsidR="00E06561" w:rsidRPr="002C033C" w:rsidRDefault="00E06561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Karty z certyfikatami (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smartcard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),</w:t>
      </w:r>
    </w:p>
    <w:p w:rsidR="00E06561" w:rsidRPr="002C033C" w:rsidRDefault="00E06561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Wirtualne karty (logowanie w oparciu o certyfikat chroniony poprzez moduł TPM),</w:t>
      </w:r>
    </w:p>
    <w:p w:rsidR="00E06561" w:rsidRPr="002C033C" w:rsidRDefault="00E06561" w:rsidP="003D2C7C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Wirtualną tożsamość użytkownika potwierdzaną za pomocą usług katalogowych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 xml:space="preserve">i konfigurowanej na urządzeniu. Użytkownik loguje się do urządzenia poprzez PIN lub cechy biometryczne, a następnie uruchamiany jest proces uwierzytelnienia wykorzystujący link do certyfikatu lub pary asymetrycznych kluczy generowanych przez moduł TPM. Dostawcy tożsamości wykorzystują klucz publiczny, zarejestrowany w usłudze katalogowej do walidacji użytkownika poprzez jego mapowanie do klucza prywatnego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lastRenderedPageBreak/>
        <w:t>i dostarczenie hasła jednorazowego (OTP) lub inny mechanizm, jak np. telefon do użytkownika z żądaniem PIN. Mechanizm musi być zgodny ze specyfikacją FIDO.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Mechanizmy wieloelementowego uwierzytelniania.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dla algorytmów Suite B (RFC 4869).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dla uwierzytelniania na bazie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Kerberos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v. 5.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do uwierzytelnienia urządzenia na bazie certyfikatu.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wbudowanej zapory ogniowej dla Internet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Key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Exchange v. 2 (IKEv2) dla warstwy transportowej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IPsec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Wbudowane narzędzia służące do administracji, do wykonywania kopii zapasowych polityk i ich odtwarzania oraz generowania raportów z ustawień polityk.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dla środowisk Java i .NET Framework 4.x – możliwość uruchomienia aplikacji działających we wskazanych środowiskach.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dla JScript i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VBScript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– możliwość uruchamiania interpretera poleceń.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Zdalna pomoc i współdzielenie aplikacji – możliwość zdalnego przejęcia sesji zalogowanego użytkownika celem rozwiązania problemu z komputerem.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Rozwiązanie służące do automatycznego zbudowania obrazu systemu wraz z aplikacjami. Obraz systemu służyć ma do automatycznego upowszechnienia systemu operacyjnego inicjowanego </w:t>
      </w:r>
      <w:r w:rsidR="003D2C7C">
        <w:rPr>
          <w:rFonts w:ascii="Fira Sans" w:eastAsia="Times New Roman" w:hAnsi="Fira Sans" w:cs="Calibri"/>
          <w:sz w:val="19"/>
          <w:szCs w:val="19"/>
        </w:rPr>
        <w:t xml:space="preserve"> </w:t>
      </w:r>
      <w:r w:rsidR="003D2C7C">
        <w:rPr>
          <w:rFonts w:ascii="Fira Sans" w:eastAsia="Times New Roman" w:hAnsi="Fira Sans" w:cs="Calibri"/>
          <w:sz w:val="19"/>
          <w:szCs w:val="19"/>
        </w:rPr>
        <w:br/>
      </w:r>
      <w:r w:rsidRPr="002C033C">
        <w:rPr>
          <w:rFonts w:ascii="Fira Sans" w:eastAsia="Times New Roman" w:hAnsi="Fira Sans" w:cs="Calibri"/>
          <w:sz w:val="19"/>
          <w:szCs w:val="19"/>
        </w:rPr>
        <w:t>i wykonywanego w całości poprzez sieć komputerową.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Rozwiązanie umożliwiające wdrożenie nowego obrazu poprzez zdalną instalację.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Transakcyjny system plików pozwalający na stosowanie przydziałów (ang.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quota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>) na dysku dla użytkowników oraz zwiększający niezawodność i pozwalający tworzyć kopie zapasowe.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Zarządzanie kontami użytkowników sieci oraz urządzeniami sieciowymi tj. drukarki, modemy, woluminy dyskowe, usługi katalogowe.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Oprogramowanie dla tworzenia kopii zapasowych (Backup); automatyczne wykonywanie kopii plików z możliwością automatycznego przywrócenia wersji wcześniejszej.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przywracania obrazu plików systemowych do uprzednio zapisanej postaci.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Identyfikacja sieci komputerowych, do których jest podłączony system operacyjny, zapamiętywanie ustawień i przypisywanie do min. 3 kategorii bezpieczeństwa (z predefiniowanymi odpowiednio do kategorii ustawieniami zapory sieciowej, udostępniania plików itp.).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blokowania lub dopuszczania dowolnych urządzeń peryferyjnych za pomocą polityk grupowych (np. przy użyciu numerów identyfikacyjnych urządzeń).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Mechanizm szyfrowania dysków wewnętrznych i zewnętrznych z możliwością szyfrowania ograniczonego do danych użytkownika.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Wbudowane w system narzędzie do szyfrowania partycji systemowych komputera, z możliwością przechowywania certyfikatów w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mikrochipie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TPM (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Trusted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Platform Module) w wersji minimum 2 lub na kluczach pamięci przenośnej USB.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Możliwość tworzenia i przechowywania kopii zapasowych kluczy odzyskiwania do szyfrowania partycji w usługach katalogowych.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Możliwość instalowania dodatkowych języków interfejsu systemu operacyjnego oraz możliwość zmiany języka bez konieczności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reinstalacji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systemu.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 xml:space="preserve">Wsparcie szyfrowania sieci bezprzewodowych w standardzie Wi-Fi </w:t>
      </w:r>
      <w:proofErr w:type="spellStart"/>
      <w:r w:rsidRPr="002C033C">
        <w:rPr>
          <w:rFonts w:ascii="Fira Sans" w:eastAsia="Times New Roman" w:hAnsi="Fira Sans" w:cs="Calibri"/>
          <w:sz w:val="19"/>
          <w:szCs w:val="19"/>
        </w:rPr>
        <w:t>Protected</w:t>
      </w:r>
      <w:proofErr w:type="spellEnd"/>
      <w:r w:rsidRPr="002C033C">
        <w:rPr>
          <w:rFonts w:ascii="Fira Sans" w:eastAsia="Times New Roman" w:hAnsi="Fira Sans" w:cs="Calibri"/>
          <w:sz w:val="19"/>
          <w:szCs w:val="19"/>
        </w:rPr>
        <w:t xml:space="preserve"> Access (WPA) 3.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Wbudowane w system narzędzie do szyfrowania dysków przenośnych, z możliwością centralnego zarządzania poprzez polityki grupowe, pozwalające na wymuszenie szyfrowania dysków przenośnych,</w:t>
      </w:r>
    </w:p>
    <w:p w:rsidR="00E06561" w:rsidRPr="002C033C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bibliotek i funkcji API DirectX w wersji 12.</w:t>
      </w:r>
    </w:p>
    <w:p w:rsidR="00E06561" w:rsidRDefault="00E06561" w:rsidP="003D2C7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  <w:r w:rsidRPr="002C033C">
        <w:rPr>
          <w:rFonts w:ascii="Fira Sans" w:eastAsia="Times New Roman" w:hAnsi="Fira Sans" w:cs="Calibri"/>
          <w:sz w:val="19"/>
          <w:szCs w:val="19"/>
        </w:rPr>
        <w:t>Wsparcie architektury 64-bitowej.</w:t>
      </w: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7828D2" w:rsidRPr="002C033C" w:rsidRDefault="007828D2" w:rsidP="007828D2">
      <w:pPr>
        <w:spacing w:after="0" w:line="240" w:lineRule="auto"/>
        <w:contextualSpacing/>
        <w:jc w:val="both"/>
        <w:rPr>
          <w:rFonts w:ascii="Fira Sans" w:eastAsia="Times New Roman" w:hAnsi="Fira Sans" w:cs="Calibri"/>
          <w:sz w:val="19"/>
          <w:szCs w:val="19"/>
        </w:rPr>
      </w:pPr>
    </w:p>
    <w:p w:rsidR="00BA4869" w:rsidRPr="00FC6A56" w:rsidRDefault="00BA4869" w:rsidP="007828D2">
      <w:pPr>
        <w:spacing w:after="0"/>
        <w:rPr>
          <w:rFonts w:ascii="Fira Sans" w:eastAsia="Times New Roman" w:hAnsi="Fira Sans" w:cs="Times New Roman"/>
          <w:b/>
          <w:sz w:val="24"/>
          <w:szCs w:val="24"/>
        </w:rPr>
      </w:pPr>
      <w:r w:rsidRPr="00FC6A56">
        <w:rPr>
          <w:rFonts w:ascii="Fira Sans" w:eastAsia="Times New Roman" w:hAnsi="Fira Sans" w:cs="Times New Roman"/>
          <w:b/>
          <w:sz w:val="24"/>
          <w:szCs w:val="24"/>
        </w:rPr>
        <w:t xml:space="preserve">Część </w:t>
      </w:r>
      <w:r w:rsidR="00CE3F68" w:rsidRPr="00FC6A56">
        <w:rPr>
          <w:rFonts w:ascii="Fira Sans" w:eastAsia="Times New Roman" w:hAnsi="Fira Sans" w:cs="Times New Roman"/>
          <w:b/>
          <w:sz w:val="24"/>
          <w:szCs w:val="24"/>
        </w:rPr>
        <w:t>III</w:t>
      </w:r>
      <w:r w:rsidRPr="00FC6A56">
        <w:rPr>
          <w:rFonts w:ascii="Fira Sans" w:eastAsia="Times New Roman" w:hAnsi="Fira Sans" w:cs="Times New Roman"/>
          <w:b/>
          <w:sz w:val="24"/>
          <w:szCs w:val="24"/>
        </w:rPr>
        <w:t xml:space="preserve">. </w:t>
      </w:r>
      <w:r w:rsidR="00FC6A56">
        <w:rPr>
          <w:rFonts w:ascii="Fira Sans" w:eastAsia="Times New Roman" w:hAnsi="Fira Sans" w:cs="Times New Roman"/>
          <w:b/>
          <w:sz w:val="24"/>
          <w:szCs w:val="24"/>
        </w:rPr>
        <w:t>Zamówienia</w:t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 w:rsidRPr="00BA4869">
        <w:rPr>
          <w:rFonts w:ascii="Fira Sans" w:eastAsia="Times New Roman" w:hAnsi="Fira Sans" w:cs="Calibri"/>
          <w:b/>
          <w:sz w:val="19"/>
          <w:szCs w:val="19"/>
        </w:rPr>
        <w:t xml:space="preserve">Tabela 1. Licencja na oprogramowanie do projektowania grafiki wektorowej – </w:t>
      </w:r>
      <w:r w:rsidR="00BA47AC">
        <w:rPr>
          <w:rFonts w:ascii="Fira Sans" w:eastAsia="Times New Roman" w:hAnsi="Fira Sans" w:cs="Calibri"/>
          <w:b/>
          <w:sz w:val="19"/>
          <w:szCs w:val="19"/>
        </w:rPr>
        <w:t>4</w:t>
      </w:r>
      <w:r w:rsidRPr="00BA4869">
        <w:rPr>
          <w:rFonts w:ascii="Fira Sans" w:eastAsia="Times New Roman" w:hAnsi="Fira Sans" w:cs="Calibri"/>
          <w:b/>
          <w:sz w:val="19"/>
          <w:szCs w:val="19"/>
        </w:rPr>
        <w:t xml:space="preserve"> sztuk</w:t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3585"/>
        <w:gridCol w:w="5245"/>
      </w:tblGrid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Rodzaj oprogramowania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Zestaw profesjonalnych narzędzi do projektowania grafiki wektorowej, edycji zdjęć, składu materiałów drukowanych i tworzenia publikacji cyfrowych.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Przykładowe oprogramowanie spełniające wszystkie wymagania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CorelDRAW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Graphics Suite 2025 lub oprogramowanie równoważne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Liczba stanowisk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Funkcjonalność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84"/>
              <w:gridCol w:w="2545"/>
            </w:tblGrid>
            <w:tr w:rsidR="00BA4869" w:rsidRPr="00BA4869" w:rsidTr="00E06561">
              <w:tc>
                <w:tcPr>
                  <w:tcW w:w="2484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Tworzenie i edycja grafiki wektorowej</w:t>
                  </w:r>
                </w:p>
              </w:tc>
              <w:tc>
                <w:tcPr>
                  <w:tcW w:w="2545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Możliwość pracy na warstwach, krzywych Béziera, kształtach i maskach.</w:t>
                  </w:r>
                </w:p>
              </w:tc>
            </w:tr>
            <w:tr w:rsidR="00BA4869" w:rsidRPr="00BA4869" w:rsidTr="00E06561">
              <w:tc>
                <w:tcPr>
                  <w:tcW w:w="2484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Edycja obrazów rastrowych</w:t>
                  </w:r>
                </w:p>
              </w:tc>
              <w:tc>
                <w:tcPr>
                  <w:tcW w:w="2545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Retusz, kadrowanie, filtry, korekcja kolorów i efektów.</w:t>
                  </w:r>
                </w:p>
              </w:tc>
            </w:tr>
            <w:tr w:rsidR="00BA4869" w:rsidRPr="00BA4869" w:rsidTr="00E06561">
              <w:tc>
                <w:tcPr>
                  <w:tcW w:w="2484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Obsługa formatów plików</w:t>
                  </w:r>
                </w:p>
              </w:tc>
              <w:tc>
                <w:tcPr>
                  <w:tcW w:w="2545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Import/eksport plików AI, PSD, PDF, EPS, SVG, PNG, JPG, TIFF,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WebP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, HEIF.</w:t>
                  </w:r>
                </w:p>
              </w:tc>
            </w:tr>
            <w:tr w:rsidR="00BA4869" w:rsidRPr="00BA4869" w:rsidTr="00E06561">
              <w:tc>
                <w:tcPr>
                  <w:tcW w:w="2484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Publikacja do druku i cyfrowa</w:t>
                  </w:r>
                </w:p>
              </w:tc>
              <w:tc>
                <w:tcPr>
                  <w:tcW w:w="2545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Eksport do PDF/X, przygotowanie kolorystyki CMYK i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Pantone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.</w:t>
                  </w:r>
                </w:p>
              </w:tc>
            </w:tr>
            <w:tr w:rsidR="00BA4869" w:rsidRPr="00BA4869" w:rsidTr="00E06561">
              <w:tc>
                <w:tcPr>
                  <w:tcW w:w="2484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Zarządzanie kolorami</w:t>
                  </w:r>
                </w:p>
              </w:tc>
              <w:tc>
                <w:tcPr>
                  <w:tcW w:w="2545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Obsługa profili ICC i konwersja między przestrzeniami kolorów.</w:t>
                  </w:r>
                </w:p>
              </w:tc>
            </w:tr>
            <w:tr w:rsidR="00BA4869" w:rsidRPr="00BA4869" w:rsidTr="00E06561">
              <w:tc>
                <w:tcPr>
                  <w:tcW w:w="2484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Współpraca zespołowa</w:t>
                  </w:r>
                </w:p>
              </w:tc>
              <w:tc>
                <w:tcPr>
                  <w:tcW w:w="2545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Możliwość recenzji i komentowania projektów online.</w:t>
                  </w:r>
                </w:p>
              </w:tc>
            </w:tr>
            <w:tr w:rsidR="00BA4869" w:rsidRPr="00BA4869" w:rsidTr="00E06561">
              <w:tc>
                <w:tcPr>
                  <w:tcW w:w="2484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Automatyzacja</w:t>
                  </w:r>
                </w:p>
              </w:tc>
              <w:tc>
                <w:tcPr>
                  <w:tcW w:w="2545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Obsługa makr i skryptów (VBA, JavaScript,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Python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).</w:t>
                  </w:r>
                </w:p>
              </w:tc>
            </w:tr>
          </w:tbl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Wersja językowa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polska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Wymagania systemowe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min. MS Windows 10, MS Windows 11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Okres licencji 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1903D0" w:rsidRDefault="001903D0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1903D0">
              <w:rPr>
                <w:rFonts w:ascii="Fira Sans" w:eastAsia="Times New Roman" w:hAnsi="Fira Sans" w:cs="Calibri"/>
                <w:sz w:val="19"/>
                <w:szCs w:val="19"/>
              </w:rPr>
              <w:t>subskrypcja na 12 miesięcy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Przeznaczenie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dla instytucji rządowych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9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Wymagania dodatkowe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Oprogramowanie musi być dostarczone w najnowszej dostępnej wersji na dzień składania oferty.  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aktualizacji oprogramowania.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pomocy technicznej producenta lub autoryzowanego partnera.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Możliwość 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reinstalacji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i aktywacji oprogramowania na nowych urządzeniach.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br/>
              <w:t>Oprogramowanie musi być legalne i dostarczone z dokumentem potwierdzającym licencję (faktura, jeśli dostępny - certyfikat).</w:t>
            </w:r>
          </w:p>
        </w:tc>
      </w:tr>
    </w:tbl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 xml:space="preserve">Warunek równoważności dla </w:t>
      </w:r>
      <w:proofErr w:type="spellStart"/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CorelDRAW</w:t>
      </w:r>
      <w:proofErr w:type="spellEnd"/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 xml:space="preserve"> Graphics Suite 2025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Oferowane oprogramowanie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równoważne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być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profesjonalnym pakietem do projektowania graficznego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</w:t>
      </w:r>
      <w:bookmarkStart w:id="3" w:name="_GoBack"/>
      <w:bookmarkEnd w:id="3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spełniać co najmniej tę samą lub lepszą funkcjonalność i parametry techniczne co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CorelDRAW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Graphics Suite 2025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komponentowe i funkcjonalne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Pakiet graficzny równoważny musi składać się z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zintegrowanych aplikacji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zapewniać co najmniej następujące funkcjonalności:</w:t>
      </w:r>
    </w:p>
    <w:p w:rsidR="00BA4869" w:rsidRPr="00BA4869" w:rsidRDefault="00BA4869" w:rsidP="003D2C7C">
      <w:pPr>
        <w:numPr>
          <w:ilvl w:val="0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Edytor grafiki wektorowej:</w:t>
      </w:r>
    </w:p>
    <w:p w:rsidR="00BA4869" w:rsidRPr="00BA4869" w:rsidRDefault="00BA4869" w:rsidP="003D2C7C">
      <w:pPr>
        <w:numPr>
          <w:ilvl w:val="1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Musi umożliwiać tworzenie, edytowanie i projektowanie obiektów wektorowych, układów stron oraz ilustracji technicznych z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zaawansowanymi narzędziami do krzywych Béziera, węzłów, kształtów geometrycznych i tekstów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numPr>
          <w:ilvl w:val="1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lastRenderedPageBreak/>
        <w:t xml:space="preserve">Musi posiadać pełną obsługę warstw, stylów graficznych i zarządzania kolorami (w tym profile CMYK i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Pantone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) dla potrzeb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profesjonalnego druku (poligrafii)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numPr>
          <w:ilvl w:val="1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Musi zawierać zaawansowane funkcje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trasowania/konwersji map bitowych na grafikę wektorową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numPr>
          <w:ilvl w:val="1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>Musi posiadać zaawansowane funkcje typograficzne i narzędzia do pracy z tekstami.</w:t>
      </w:r>
    </w:p>
    <w:p w:rsidR="00BA4869" w:rsidRPr="00BA4869" w:rsidRDefault="00BA4869" w:rsidP="003D2C7C">
      <w:pPr>
        <w:numPr>
          <w:ilvl w:val="0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Edytor grafiki rastrowej (map bitowych):</w:t>
      </w:r>
    </w:p>
    <w:p w:rsidR="00BA4869" w:rsidRPr="00BA4869" w:rsidRDefault="00BA4869" w:rsidP="003D2C7C">
      <w:pPr>
        <w:numPr>
          <w:ilvl w:val="1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>Musi umożliwiać profesjonalną edycję, retusz i tworzenie obrazów rastrowych (odpowiednik Corel PHOTO-PAINT).</w:t>
      </w:r>
    </w:p>
    <w:p w:rsidR="00BA4869" w:rsidRPr="00BA4869" w:rsidRDefault="00BA4869" w:rsidP="003D2C7C">
      <w:pPr>
        <w:numPr>
          <w:ilvl w:val="1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>Musi posiadać pełny zestaw narzędzi do korekcji kolorów, masek, filtrów i efektów specjalnych na zdjęciach.</w:t>
      </w:r>
    </w:p>
    <w:p w:rsidR="00BA4869" w:rsidRPr="00BA4869" w:rsidRDefault="00BA4869" w:rsidP="003D2C7C">
      <w:pPr>
        <w:numPr>
          <w:ilvl w:val="0"/>
          <w:numId w:val="1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Wsparcie dla platform: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być przeznaczone dla systemów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Windows 10/11. 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kompatybilności i formatów plików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Oprogramowanie równoważne musi zapewniać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pełną i bezproblemową kompatybilność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 formatami plików niezbędnymi do niezakłóconej pracy, w tym co najmniej:</w:t>
      </w:r>
    </w:p>
    <w:p w:rsidR="00BA4869" w:rsidRPr="00BA4869" w:rsidRDefault="00BA4869" w:rsidP="003D2C7C">
      <w:pPr>
        <w:numPr>
          <w:ilvl w:val="0"/>
          <w:numId w:val="18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Formaty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CorelDRAW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obsługa i możliwość importu/eksportu plików wektorowych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CorelDRAW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 formacie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CDR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(wersje od 2020 do 2025) oraz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CMX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(Corel Presentation Exchange).</w:t>
      </w:r>
    </w:p>
    <w:p w:rsidR="00BA4869" w:rsidRPr="00BA4869" w:rsidRDefault="00BA4869" w:rsidP="003D2C7C">
      <w:pPr>
        <w:numPr>
          <w:ilvl w:val="0"/>
          <w:numId w:val="18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Formaty Adobe: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i bezstratna obsługa plików:</w:t>
      </w:r>
    </w:p>
    <w:p w:rsidR="00BA4869" w:rsidRPr="00BA4869" w:rsidRDefault="00BA4869" w:rsidP="003D2C7C">
      <w:pPr>
        <w:numPr>
          <w:ilvl w:val="1"/>
          <w:numId w:val="18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Adobe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Illustrator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(AI)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(wersja co najmniej CC).</w:t>
      </w:r>
    </w:p>
    <w:p w:rsidR="00BA4869" w:rsidRPr="00BA4869" w:rsidRDefault="00BA4869" w:rsidP="003D2C7C">
      <w:pPr>
        <w:numPr>
          <w:ilvl w:val="1"/>
          <w:numId w:val="18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Adobe Photoshop (PSD)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(z zachowaniem warstw i efektów).</w:t>
      </w:r>
    </w:p>
    <w:p w:rsidR="00BA4869" w:rsidRPr="00BA4869" w:rsidRDefault="00BA4869" w:rsidP="003D2C7C">
      <w:pPr>
        <w:numPr>
          <w:ilvl w:val="1"/>
          <w:numId w:val="18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Encapsulated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PostScript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(EPS)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Portable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Document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Format (PDF)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(z pełną edytowalnością elementów wektorowych).</w:t>
      </w:r>
    </w:p>
    <w:p w:rsidR="00BA4869" w:rsidRPr="00BA4869" w:rsidRDefault="00BA4869" w:rsidP="003D2C7C">
      <w:pPr>
        <w:numPr>
          <w:ilvl w:val="0"/>
          <w:numId w:val="18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Formaty standardowe: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obsługa importu/eksportu formatów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SVG, DWG/DXF, PNG, JPEG, TIFF, GIF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licencyjne i dodatkowe</w:t>
      </w:r>
    </w:p>
    <w:p w:rsidR="001903D0" w:rsidRPr="001903D0" w:rsidRDefault="001903D0" w:rsidP="001903D0">
      <w:pPr>
        <w:numPr>
          <w:ilvl w:val="0"/>
          <w:numId w:val="19"/>
        </w:numPr>
        <w:spacing w:after="0" w:line="240" w:lineRule="auto"/>
        <w:jc w:val="both"/>
        <w:rPr>
          <w:rFonts w:ascii="Fira Sans" w:eastAsiaTheme="minorHAnsi" w:hAnsi="Fira Sans"/>
          <w:bCs/>
          <w:sz w:val="19"/>
          <w:szCs w:val="19"/>
          <w:lang w:eastAsia="en-US"/>
        </w:rPr>
      </w:pPr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 xml:space="preserve">Model licencjonowania: oferowane rozwiązanie musi być dostarczone w modelu subskrypcyjnym (na okres wskazany w SIWZ), zapewniającym dostęp do wszystkich aktualizacji i nowych wersji  </w:t>
      </w:r>
      <w:r>
        <w:rPr>
          <w:rFonts w:ascii="Fira Sans" w:eastAsiaTheme="minorHAnsi" w:hAnsi="Fira Sans"/>
          <w:bCs/>
          <w:sz w:val="19"/>
          <w:szCs w:val="19"/>
          <w:lang w:eastAsia="en-US"/>
        </w:rPr>
        <w:t xml:space="preserve"> </w:t>
      </w:r>
      <w:r>
        <w:rPr>
          <w:rFonts w:ascii="Fira Sans" w:eastAsiaTheme="minorHAnsi" w:hAnsi="Fira Sans"/>
          <w:bCs/>
          <w:sz w:val="19"/>
          <w:szCs w:val="19"/>
          <w:lang w:eastAsia="en-US"/>
        </w:rPr>
        <w:br/>
      </w:r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>w trakcie trwania subskrypcji.</w:t>
      </w:r>
    </w:p>
    <w:p w:rsidR="001903D0" w:rsidRPr="001903D0" w:rsidRDefault="001903D0" w:rsidP="001903D0">
      <w:pPr>
        <w:numPr>
          <w:ilvl w:val="0"/>
          <w:numId w:val="19"/>
        </w:numPr>
        <w:spacing w:after="0" w:line="240" w:lineRule="auto"/>
        <w:jc w:val="both"/>
        <w:rPr>
          <w:rFonts w:ascii="Fira Sans" w:eastAsiaTheme="minorHAnsi" w:hAnsi="Fira Sans"/>
          <w:bCs/>
          <w:sz w:val="19"/>
          <w:szCs w:val="19"/>
          <w:lang w:eastAsia="en-US"/>
        </w:rPr>
      </w:pPr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 xml:space="preserve">W przypadku pakietu </w:t>
      </w:r>
      <w:proofErr w:type="spellStart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>CorelDRAW</w:t>
      </w:r>
      <w:proofErr w:type="spellEnd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Graphics Suite 2025 dostęp do najnowszej wersji oprogramowania w okresie ważności mechanizmu uaktualnień zapewnia </w:t>
      </w:r>
      <w:proofErr w:type="spellStart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>CorelSure</w:t>
      </w:r>
      <w:proofErr w:type="spellEnd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</w:t>
      </w:r>
      <w:proofErr w:type="spellStart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>Maintenace</w:t>
      </w:r>
      <w:proofErr w:type="spellEnd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 xml:space="preserve">. </w:t>
      </w:r>
    </w:p>
    <w:p w:rsidR="001903D0" w:rsidRPr="001903D0" w:rsidRDefault="001903D0" w:rsidP="001903D0">
      <w:pPr>
        <w:numPr>
          <w:ilvl w:val="0"/>
          <w:numId w:val="1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 xml:space="preserve">Rozwiązanie równoważne musi zapewniać dostęp do aktualizacji i nowych wersji/wydań nie gorszy niż obecny w pakiecie </w:t>
      </w:r>
      <w:proofErr w:type="spellStart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>CorelDRAW</w:t>
      </w:r>
      <w:proofErr w:type="spellEnd"/>
      <w:r w:rsidRPr="001903D0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Graphics Suite 2025. </w:t>
      </w:r>
    </w:p>
    <w:p w:rsidR="00BA4869" w:rsidRPr="00BA4869" w:rsidRDefault="00BA4869" w:rsidP="003D2C7C">
      <w:pPr>
        <w:numPr>
          <w:ilvl w:val="0"/>
          <w:numId w:val="1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Wersja językowa: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polska wersja językowa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interfejsu użytkownika i dokumentacji.</w:t>
      </w:r>
    </w:p>
    <w:p w:rsidR="00BA4869" w:rsidRPr="00BA4869" w:rsidRDefault="00BA4869" w:rsidP="003D2C7C">
      <w:pPr>
        <w:numPr>
          <w:ilvl w:val="0"/>
          <w:numId w:val="1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Wsparcie i zasoby: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pakiet musi zawierać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bogate zasoby graficzne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(czcionki, szablony, grafiki, obrazy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stockowe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) o funkcjonalności i liczbie nie gorszej niż zasoby dostarczane z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CorelDRAW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Graphics Suite 2025.</w:t>
      </w:r>
    </w:p>
    <w:p w:rsidR="00BA4869" w:rsidRPr="00BA4869" w:rsidRDefault="00BA4869" w:rsidP="003D2C7C">
      <w:pPr>
        <w:numPr>
          <w:ilvl w:val="0"/>
          <w:numId w:val="1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Instalacja: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zapewniać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instalacji i użytkowania bez stałego połączenia z Internetem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(po wstępnej aktywacji, jeśli jest wymagana) oraz musi być wolne od wymogu stałego logowania online do pracy.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Obowiązek </w:t>
      </w:r>
      <w:r w:rsidR="00136B4A">
        <w:rPr>
          <w:rFonts w:ascii="Fira Sans" w:eastAsiaTheme="minorHAnsi" w:hAnsi="Fira Sans"/>
          <w:bCs/>
          <w:sz w:val="19"/>
          <w:szCs w:val="19"/>
          <w:lang w:eastAsia="en-US"/>
        </w:rPr>
        <w:t>wykon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awcy: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 w:rsidR="00136B4A">
        <w:rPr>
          <w:rFonts w:ascii="Fira Sans" w:eastAsiaTheme="minorHAnsi" w:hAnsi="Fira Sans"/>
          <w:sz w:val="19"/>
          <w:szCs w:val="19"/>
          <w:lang w:eastAsia="en-US"/>
        </w:rPr>
        <w:t>Wykon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awca, oferujący oprogramowanie równoważne, jest zobowiązany do przedstawienia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szczegółowej tabeli porównawczej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lub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pisemnego oświadczenia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potwierdzającego, że zaoferowany pakiet graficzny spełnia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wszystkie minimalne wymagania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określone powyżej.</w:t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Times New Roman"/>
          <w:sz w:val="19"/>
          <w:szCs w:val="19"/>
        </w:rPr>
      </w:pPr>
      <w:r w:rsidRPr="00BA4869">
        <w:rPr>
          <w:rFonts w:ascii="Fira Sans" w:eastAsia="Times New Roman" w:hAnsi="Fira Sans" w:cs="Times New Roman"/>
          <w:sz w:val="19"/>
          <w:szCs w:val="19"/>
        </w:rPr>
        <w:br w:type="page"/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 w:rsidRPr="00BA4869">
        <w:rPr>
          <w:rFonts w:ascii="Fira Sans" w:eastAsia="Times New Roman" w:hAnsi="Fira Sans" w:cs="Calibri"/>
          <w:b/>
          <w:sz w:val="19"/>
          <w:szCs w:val="19"/>
        </w:rPr>
        <w:lastRenderedPageBreak/>
        <w:t xml:space="preserve">Tabela </w:t>
      </w:r>
      <w:r w:rsidR="003D5B85">
        <w:rPr>
          <w:rFonts w:ascii="Fira Sans" w:eastAsia="Times New Roman" w:hAnsi="Fira Sans" w:cs="Calibri"/>
          <w:b/>
          <w:sz w:val="19"/>
          <w:szCs w:val="19"/>
        </w:rPr>
        <w:t>2</w:t>
      </w:r>
      <w:r w:rsidRPr="00BA4869">
        <w:rPr>
          <w:rFonts w:ascii="Fira Sans" w:eastAsia="Times New Roman" w:hAnsi="Fira Sans" w:cs="Calibri"/>
          <w:b/>
          <w:sz w:val="19"/>
          <w:szCs w:val="19"/>
        </w:rPr>
        <w:t>. Licencja na oprogramowanie do kompleksowej pracy z dokumentami PDF – 1 sztuka</w:t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876"/>
        <w:gridCol w:w="5954"/>
      </w:tblGrid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Rodzaj oprogramowania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Oprogramowanie do kompleksowej pracy z dokumentami PDF, 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br/>
              <w:t>w tym ich tworzenie, edycja, konwersja, zabezpieczanie, podpisywanie elektroniczne.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Przykładowe oprogramowanie spełniające wszystkie wymagania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Adobe 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Acrobat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Pro lub oprogramowanie równoważne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Liczba stanowisk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Funkcjonalność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77"/>
              <w:gridCol w:w="3861"/>
            </w:tblGrid>
            <w:tr w:rsidR="00BA4869" w:rsidRPr="00BA4869" w:rsidTr="00E06561">
              <w:tc>
                <w:tcPr>
                  <w:tcW w:w="1877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Tworzenie i konwersja dokumentów</w:t>
                  </w:r>
                </w:p>
              </w:tc>
              <w:tc>
                <w:tcPr>
                  <w:tcW w:w="3861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Tworzenie plików PDF z dokumentów MS Office, stron WWW, plików graficznych oraz skanów. Konwersja plików PDF do edytowalnych formatów (Word, Excel, PowerPoint, RTF, TXT, HTML, obrazy). Obsługa standardu PDF/A do archiwizacji.</w:t>
                  </w:r>
                </w:p>
              </w:tc>
            </w:tr>
            <w:tr w:rsidR="00BA4869" w:rsidRPr="00BA4869" w:rsidTr="00E06561">
              <w:tc>
                <w:tcPr>
                  <w:tcW w:w="1877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Edycja plików PDF</w:t>
                  </w:r>
                </w:p>
              </w:tc>
              <w:tc>
                <w:tcPr>
                  <w:tcW w:w="3861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Edycja tekstu i obrazów bezpośrednio w dokumencie PDF. Łączenie, dzielenie i reorganizacja stron. Dodawanie nagłówków, stopek, znaków wodnych i numeracji stron.</w:t>
                  </w:r>
                </w:p>
              </w:tc>
            </w:tr>
            <w:tr w:rsidR="00BA4869" w:rsidRPr="00BA4869" w:rsidTr="00E06561">
              <w:tc>
                <w:tcPr>
                  <w:tcW w:w="1877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Formularze PDF</w:t>
                  </w:r>
                </w:p>
              </w:tc>
              <w:tc>
                <w:tcPr>
                  <w:tcW w:w="3861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Tworzenie i edycja interaktywnych formularzy PDF. Eksport i import danych formularzy (CSV, XML). </w:t>
                  </w:r>
                </w:p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Automatyczne rozpoznawanie pól formularzy.</w:t>
                  </w:r>
                </w:p>
              </w:tc>
            </w:tr>
            <w:tr w:rsidR="00BA4869" w:rsidRPr="00BA4869" w:rsidTr="00E06561">
              <w:tc>
                <w:tcPr>
                  <w:tcW w:w="1877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Recenzowanie i współpraca</w:t>
                  </w:r>
                </w:p>
              </w:tc>
              <w:tc>
                <w:tcPr>
                  <w:tcW w:w="3861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Dodawanie komentarzy, notatek i znaczników. Porównywanie wersji dokumentów PDF. </w:t>
                  </w:r>
                </w:p>
              </w:tc>
            </w:tr>
            <w:tr w:rsidR="00BA4869" w:rsidRPr="00BA4869" w:rsidTr="00E06561">
              <w:tc>
                <w:tcPr>
                  <w:tcW w:w="1877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Zabezpieczenia i podpisy</w:t>
                  </w:r>
                </w:p>
              </w:tc>
              <w:tc>
                <w:tcPr>
                  <w:tcW w:w="3861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Dodawanie podpisów elektronicznych i cyfrowych zgodnych z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eIDAS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. Szyfrowanie plików PDF i zabezpieczanie hasłem. Ustalanie uprawnień użytkownika (drukowanie, kopiowanie, edycja).</w:t>
                  </w:r>
                </w:p>
              </w:tc>
            </w:tr>
            <w:tr w:rsidR="00BA4869" w:rsidRPr="00BA4869" w:rsidTr="00E06561">
              <w:tc>
                <w:tcPr>
                  <w:tcW w:w="1877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OCR i wyszukiwanie</w:t>
                  </w:r>
                </w:p>
              </w:tc>
              <w:tc>
                <w:tcPr>
                  <w:tcW w:w="3861" w:type="dxa"/>
                </w:tcPr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Rozpoznawanie tekstu w zeskanowanych dokumentach (OCR).</w:t>
                  </w:r>
                </w:p>
                <w:p w:rsidR="00BA4869" w:rsidRPr="00BA4869" w:rsidRDefault="00BA4869" w:rsidP="00BA4869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Obsługa języka polskiego w OCR i sprawdzaniu pisowni.</w:t>
                  </w:r>
                </w:p>
              </w:tc>
            </w:tr>
          </w:tbl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Wersja językowa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polska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Wymagania systemowe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min. MS Windows 10, MS Windows 11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Okres licencji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subskrypcja na 12 miesięcy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Przeznaczenie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dla instytucji rządowych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3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Wymagania dodatkowe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Oprogramowanie musi być dostarczone w najnowszej dostępnej wersji na dzień składania oferty.  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Automatyczne aktualizacje w ramach aktywnej subskrypcji.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pomocy technicznej producenta lub autoryzowanego partnera.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Możliwość 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reinstalacji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i aktywacji oprogramowania na nowych urządzeniach.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br/>
              <w:t>Oprogramowanie musi być legalne i dostarczone z dokumentem potwierdzającym licencję (faktura, jeśli dostępny - certyfikat).</w:t>
            </w:r>
          </w:p>
        </w:tc>
      </w:tr>
    </w:tbl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 xml:space="preserve">Warunek równoważności dla </w:t>
      </w:r>
      <w:bookmarkStart w:id="4" w:name="_Hlk213840005"/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 xml:space="preserve">Adobe </w:t>
      </w:r>
      <w:proofErr w:type="spellStart"/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Acrobat</w:t>
      </w:r>
      <w:proofErr w:type="spellEnd"/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 xml:space="preserve"> Pro</w:t>
      </w:r>
      <w:bookmarkEnd w:id="4"/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Oferowane oprogramowanie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równoważne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być profesjonalnym narzędziem do tworzenia, edycji </w:t>
      </w:r>
      <w:r w:rsidR="003D2C7C"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 w:rsidR="003D2C7C">
        <w:rPr>
          <w:rFonts w:ascii="Fira Sans" w:eastAsiaTheme="minorHAnsi" w:hAnsi="Fira Sans"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i zarządzania dokumentami PDF, spełniającym co najmniej tę samą lub lepszą funkcjonalność i parametry techniczne co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Adobe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Acrobat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Pro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(w najnowszej, aktualnej i stabilnej wersji).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Wymagania, o których mowa poniżej, muszą być spełnione poprzez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wbudowane mechanizmy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programu, bez użycia dodatkowych aplikacji, dodatkowych kosztów lub zewnętrznych wtyczek.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funkcjonalne edycji i tworzenia PDF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lastRenderedPageBreak/>
        <w:t xml:space="preserve">Oprogramowanie równoważne musi posiadać następujące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kluczowe funkcjonalności edycyjne </w:t>
      </w:r>
      <w:r w:rsidR="003D2C7C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</w:t>
      </w:r>
      <w:r w:rsidR="003D2C7C">
        <w:rPr>
          <w:rFonts w:ascii="Fira Sans" w:eastAsiaTheme="minorHAnsi" w:hAnsi="Fira Sans"/>
          <w:bCs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 konwersyjne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:</w:t>
      </w:r>
    </w:p>
    <w:p w:rsidR="00BA4869" w:rsidRPr="00BA4869" w:rsidRDefault="00BA4869" w:rsidP="003D2C7C">
      <w:pPr>
        <w:numPr>
          <w:ilvl w:val="0"/>
          <w:numId w:val="2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Pełna edycja tekstu i obrazów: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bezpośredniej edycji tekstu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 pliku PDF (zmiana czcionek, rozmiaru, koloru, układu), wstawiania, zastępowania i usuwania obrazów, bez konieczności powrotu do źródłowego programu.</w:t>
      </w:r>
    </w:p>
    <w:p w:rsidR="00BA4869" w:rsidRPr="00BA4869" w:rsidRDefault="00BA4869" w:rsidP="003D2C7C">
      <w:pPr>
        <w:numPr>
          <w:ilvl w:val="0"/>
          <w:numId w:val="2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Tworzenie PDF: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tworzenia plików PDF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 dowolnego formatu drukowalnego (np. MS Office, strony internetowe) oraz konwersji do PDF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wielu plików jednocześnie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(tworzenie pakietów lub portfolio PDF).</w:t>
      </w:r>
    </w:p>
    <w:p w:rsidR="00BA4869" w:rsidRPr="00BA4869" w:rsidRDefault="00BA4869" w:rsidP="003D2C7C">
      <w:pPr>
        <w:numPr>
          <w:ilvl w:val="0"/>
          <w:numId w:val="2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Konwersja na inne formaty: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precyzyjnej konwersji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plików PDF do edytowalnych formatów MS Office (DOCX, XLSX, PPTX) oraz formatów obrazu (JPEG, PNG, TIFF) z zachowaniem oryginalnego układu i formatowania.</w:t>
      </w:r>
    </w:p>
    <w:p w:rsidR="00BA4869" w:rsidRPr="00BA4869" w:rsidRDefault="00BA4869" w:rsidP="003D2C7C">
      <w:pPr>
        <w:numPr>
          <w:ilvl w:val="0"/>
          <w:numId w:val="2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Łączenie i dzielenie: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łączenia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wielu plików PDF w jeden dokument,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dzielenia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dokumentu na mniejsze pliki, a także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reorganizacji stron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(przenoszenie, obracanie, usuwanie) w ramach dokumentu.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bezpieczeństwa i zgodności</w:t>
      </w:r>
    </w:p>
    <w:p w:rsidR="00BA4869" w:rsidRPr="00BA4869" w:rsidRDefault="00BA4869" w:rsidP="003D2C7C">
      <w:pPr>
        <w:numPr>
          <w:ilvl w:val="0"/>
          <w:numId w:val="2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Zabezpieczenia: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możliwość stosowania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zaawansowanych zabezpieczeń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, w tym szyfrowania (np. 256-bit AES), haseł dostępu i ograniczeń drukowania/edycji.</w:t>
      </w:r>
    </w:p>
    <w:p w:rsidR="00BA4869" w:rsidRPr="00BA4869" w:rsidRDefault="00BA4869" w:rsidP="003D2C7C">
      <w:pPr>
        <w:numPr>
          <w:ilvl w:val="0"/>
          <w:numId w:val="2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Cyfrowe podpisy: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obsługa i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tworzenia, umieszczania i weryfikacji cyfrowych podpisów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zgodnie z obowiązującymi standardami (np.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XAdES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PAdES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) oraz ich wizualizacja.</w:t>
      </w:r>
    </w:p>
    <w:p w:rsidR="00BA4869" w:rsidRPr="00BA4869" w:rsidRDefault="00BA4869" w:rsidP="003D2C7C">
      <w:pPr>
        <w:numPr>
          <w:ilvl w:val="0"/>
          <w:numId w:val="2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Redakcja: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trwałego i nieodwracalnego usunięcia (zaciemnienia/redakcji)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poufnych informacji (tekstów, grafik) z dokumentu PDF, uniemożliwiające ich odzyskanie.</w:t>
      </w:r>
    </w:p>
    <w:p w:rsidR="00BA4869" w:rsidRPr="00BA4869" w:rsidRDefault="00BA4869" w:rsidP="003D2C7C">
      <w:pPr>
        <w:numPr>
          <w:ilvl w:val="0"/>
          <w:numId w:val="2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Dostępność: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narzędzia do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sprawdzania i poprawiania dostępności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dokumentów PDF zgodnie ze standardem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WCAG 2.1 (lub nowszym)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ISO 14289 (PDF/UA), kluczowe dla instytucji publicznych.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dodatkowe i licencyjne</w:t>
      </w:r>
    </w:p>
    <w:p w:rsidR="00BA4869" w:rsidRPr="00BA4869" w:rsidRDefault="00BA4869" w:rsidP="003D2C7C">
      <w:pPr>
        <w:numPr>
          <w:ilvl w:val="0"/>
          <w:numId w:val="2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Formularze: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zaawansowane funkcje do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tworzenia i edytowania interaktywnych formularzy PDF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(pola tekstowe, listy rozwijane, przyciski, obliczenia) oraz zbierania danych z wypełnionych formularzy.</w:t>
      </w:r>
    </w:p>
    <w:p w:rsidR="00BA4869" w:rsidRPr="00BA4869" w:rsidRDefault="00BA4869" w:rsidP="003D2C7C">
      <w:pPr>
        <w:numPr>
          <w:ilvl w:val="0"/>
          <w:numId w:val="2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Wersja językowa: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polska wersja językowa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interfejsu użytkownika.</w:t>
      </w:r>
    </w:p>
    <w:p w:rsidR="00BA4869" w:rsidRPr="00BA4869" w:rsidRDefault="00BA4869" w:rsidP="003D2C7C">
      <w:pPr>
        <w:numPr>
          <w:ilvl w:val="0"/>
          <w:numId w:val="2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Kompatybilność: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bezproblemowa współpraca z systemami operacyjnymi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Windows 10/11 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oraz </w:t>
      </w:r>
      <w:r w:rsidR="003D2C7C"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 w:rsidR="003D2C7C">
        <w:rPr>
          <w:rFonts w:ascii="Fira Sans" w:eastAsiaTheme="minorHAnsi" w:hAnsi="Fira Sans"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z najnowszymi wersjami pakietów biurowych (MS Office 2021/2024).</w:t>
      </w:r>
    </w:p>
    <w:p w:rsidR="00BA4869" w:rsidRDefault="00BA4869" w:rsidP="003D2C7C">
      <w:pPr>
        <w:numPr>
          <w:ilvl w:val="0"/>
          <w:numId w:val="2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Licencjonowanie: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sposób licencjonowania (subskrypcja na użytkownika) musi być zgodny </w:t>
      </w:r>
      <w:r w:rsidR="003D2C7C"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 w:rsidR="003D2C7C">
        <w:rPr>
          <w:rFonts w:ascii="Fira Sans" w:eastAsiaTheme="minorHAnsi" w:hAnsi="Fira Sans"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z modelem wskazanym przez Zamawiającego w SIWZ.</w:t>
      </w:r>
    </w:p>
    <w:p w:rsidR="00A53C51" w:rsidRPr="00A53C51" w:rsidRDefault="00A53C51" w:rsidP="00A53C51">
      <w:pPr>
        <w:numPr>
          <w:ilvl w:val="0"/>
          <w:numId w:val="27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A53C51">
        <w:rPr>
          <w:rFonts w:ascii="Fira Sans" w:eastAsiaTheme="minorHAnsi" w:hAnsi="Fira Sans"/>
          <w:sz w:val="19"/>
          <w:szCs w:val="19"/>
          <w:lang w:eastAsia="en-US"/>
        </w:rPr>
        <w:t xml:space="preserve">Zamawiający posiada już na swoim koncie u producenta oprogramowania licencję </w:t>
      </w:r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 xml:space="preserve">Adobe </w:t>
      </w:r>
      <w:proofErr w:type="spellStart"/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>Acrobat</w:t>
      </w:r>
      <w:proofErr w:type="spellEnd"/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Pro</w:t>
      </w:r>
      <w:r w:rsidRPr="00A53C51">
        <w:rPr>
          <w:rFonts w:ascii="Fira Sans" w:eastAsiaTheme="minorHAnsi" w:hAnsi="Fira Sans"/>
          <w:sz w:val="19"/>
          <w:szCs w:val="19"/>
          <w:lang w:eastAsia="en-US"/>
        </w:rPr>
        <w:t xml:space="preserve">. </w:t>
      </w:r>
    </w:p>
    <w:p w:rsidR="00A53C51" w:rsidRPr="00A53C51" w:rsidRDefault="00A53C51" w:rsidP="00A53C51">
      <w:pPr>
        <w:spacing w:after="0" w:line="240" w:lineRule="auto"/>
        <w:ind w:left="720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A53C51">
        <w:rPr>
          <w:rFonts w:ascii="Fira Sans" w:eastAsiaTheme="minorHAnsi" w:hAnsi="Fira Sans"/>
          <w:sz w:val="19"/>
          <w:szCs w:val="19"/>
          <w:lang w:eastAsia="en-US"/>
        </w:rPr>
        <w:t xml:space="preserve">Jeżeli zaproponowana zostanie licencja </w:t>
      </w:r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 xml:space="preserve">Adobe </w:t>
      </w:r>
      <w:proofErr w:type="spellStart"/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>Acrobat</w:t>
      </w:r>
      <w:proofErr w:type="spellEnd"/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Pro</w:t>
      </w:r>
      <w:r w:rsidRPr="00A53C51">
        <w:rPr>
          <w:rFonts w:ascii="Fira Sans" w:eastAsiaTheme="minorHAnsi" w:hAnsi="Fira Sans"/>
          <w:sz w:val="19"/>
          <w:szCs w:val="19"/>
          <w:lang w:eastAsia="en-US"/>
        </w:rPr>
        <w:t>, to powinna pozwalać na kontynuację prac przez następne 12 miesięcy na posiadanym przez Zamawiającego koncie u producenta oprogramowania.</w:t>
      </w:r>
    </w:p>
    <w:p w:rsidR="00A53C51" w:rsidRPr="00BA4869" w:rsidRDefault="00A53C51" w:rsidP="00A53C51">
      <w:pPr>
        <w:spacing w:after="0" w:line="240" w:lineRule="auto"/>
        <w:ind w:left="720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Obowiązek </w:t>
      </w:r>
      <w:r w:rsidR="00136B4A">
        <w:rPr>
          <w:rFonts w:ascii="Fira Sans" w:eastAsiaTheme="minorHAnsi" w:hAnsi="Fira Sans"/>
          <w:bCs/>
          <w:sz w:val="19"/>
          <w:szCs w:val="19"/>
          <w:lang w:eastAsia="en-US"/>
        </w:rPr>
        <w:t>wykon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awcy: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Wykonawca, oferujący oprogramowanie równoważne, jest zobowiązany do złożenia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szczegółowej dokumentacji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(karty katalogowe, oświadczenia producenta) lub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tabeli porównawczej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, która w sposób niebudzący wątpliwości potwierdzi spełnienie wszystkich minimalnych wymagań funkcjonalnych, technicznych i licencyjnych określonych powyżej.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</w:rPr>
      </w:pPr>
    </w:p>
    <w:p w:rsidR="003D5B85" w:rsidRPr="00BA4869" w:rsidRDefault="00BA4869" w:rsidP="003D5B85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 w:rsidRPr="00BA4869">
        <w:rPr>
          <w:rFonts w:ascii="Fira Sans" w:eastAsia="Times New Roman" w:hAnsi="Fira Sans" w:cs="Times New Roman"/>
          <w:sz w:val="19"/>
          <w:szCs w:val="19"/>
        </w:rPr>
        <w:br w:type="page"/>
      </w:r>
      <w:r w:rsidR="003D5B85" w:rsidRPr="00BA4869">
        <w:rPr>
          <w:rFonts w:ascii="Fira Sans" w:eastAsia="Times New Roman" w:hAnsi="Fira Sans" w:cs="Calibri"/>
          <w:b/>
          <w:sz w:val="19"/>
          <w:szCs w:val="19"/>
        </w:rPr>
        <w:lastRenderedPageBreak/>
        <w:t xml:space="preserve">Tabela </w:t>
      </w:r>
      <w:r w:rsidR="003D5B85">
        <w:rPr>
          <w:rFonts w:ascii="Fira Sans" w:eastAsia="Times New Roman" w:hAnsi="Fira Sans" w:cs="Calibri"/>
          <w:b/>
          <w:sz w:val="19"/>
          <w:szCs w:val="19"/>
        </w:rPr>
        <w:t>3</w:t>
      </w:r>
      <w:r w:rsidR="003D5B85" w:rsidRPr="00BA4869">
        <w:rPr>
          <w:rFonts w:ascii="Fira Sans" w:eastAsia="Times New Roman" w:hAnsi="Fira Sans" w:cs="Calibri"/>
          <w:b/>
          <w:sz w:val="19"/>
          <w:szCs w:val="19"/>
        </w:rPr>
        <w:t>. Licencja na oprogramowanie do analizy i wizualizacji danych – 1 sztuka</w:t>
      </w:r>
    </w:p>
    <w:p w:rsidR="003D5B85" w:rsidRPr="00BA4869" w:rsidRDefault="003D5B85" w:rsidP="003D5B85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876"/>
        <w:gridCol w:w="5954"/>
      </w:tblGrid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B85" w:rsidRPr="00BA4869" w:rsidRDefault="003D5B85" w:rsidP="00CD0A76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B85" w:rsidRPr="00BA4869" w:rsidRDefault="003D5B85" w:rsidP="00CD0A76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B85" w:rsidRPr="00BA4869" w:rsidRDefault="003D5B85" w:rsidP="00CD0A76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Rodzaj oprogramowania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Oprogramowanie do analizy i wizualizacji danych w formie interaktywnych raportów i pulpitów menedżerskich (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dashboardów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)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Przykładowe oprogramowanie spełniające wszystkie wymagania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Microsoft Power BI Pro lub oprogramowanie równoważne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Liczba stanowisk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1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Funkcjonalność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69"/>
              <w:gridCol w:w="2869"/>
            </w:tblGrid>
            <w:tr w:rsidR="003D5B85" w:rsidRPr="00BA4869" w:rsidTr="00CD0A76"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Modelowanie danych</w:t>
                  </w:r>
                </w:p>
              </w:tc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Tworzenie modeli danych relacyjnych, miar i hierarchii.</w:t>
                  </w:r>
                </w:p>
              </w:tc>
            </w:tr>
            <w:tr w:rsidR="003D5B85" w:rsidRPr="00BA4869" w:rsidTr="00CD0A76"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Wizualizacje</w:t>
                  </w:r>
                </w:p>
              </w:tc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Minimum 30 typów wizualizacji + możliwość dodania własnych (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custom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visuals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).</w:t>
                  </w:r>
                </w:p>
              </w:tc>
            </w:tr>
            <w:tr w:rsidR="003D5B85" w:rsidRPr="00BA4869" w:rsidTr="00CD0A76"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Import danych</w:t>
                  </w:r>
                </w:p>
              </w:tc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Obsługa CSV, XLSX, JSON, SQL Server,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PostgreSQL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, Oracle, SAP, Web API.</w:t>
                  </w:r>
                </w:p>
              </w:tc>
            </w:tr>
            <w:tr w:rsidR="003D5B85" w:rsidRPr="00BA4869" w:rsidTr="00CD0A76"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Automatyczne odświeżanie danych</w:t>
                  </w:r>
                </w:p>
              </w:tc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Planowanie aktualizacji raportów (min. 8 razy dziennie).</w:t>
                  </w:r>
                </w:p>
              </w:tc>
            </w:tr>
            <w:tr w:rsidR="003D5B85" w:rsidRPr="00BA4869" w:rsidTr="00CD0A76"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Współdzielenie raportów</w:t>
                  </w:r>
                </w:p>
              </w:tc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Udostępnianie w ramach organizacji z kontrolą dostępu.</w:t>
                  </w:r>
                </w:p>
              </w:tc>
            </w:tr>
            <w:tr w:rsidR="003D5B85" w:rsidRPr="00BA4869" w:rsidTr="00CD0A76"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Eksport</w:t>
                  </w:r>
                </w:p>
              </w:tc>
              <w:tc>
                <w:tcPr>
                  <w:tcW w:w="2869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Eksport raportów do PDF, PPTX, Excel, CSV.</w:t>
                  </w:r>
                </w:p>
              </w:tc>
            </w:tr>
          </w:tbl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Wersja językowa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polska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Wymagania systemowe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min. MS Windows 10, MS Windows 11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Okres licencji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subskrypcja na 12 miesięcy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Przeznaczenie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dla instytucji rządowych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14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Wymagania dodatkowe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Oprogramowanie musi być dostarczone w najnowszej dostępnej wersji na dzień składania oferty.   </w:t>
            </w:r>
          </w:p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najnowszych aktualizacji i funkcji przez cały okres licencji. </w:t>
            </w:r>
          </w:p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pomocy technicznej producenta lub autoryzowanego partnera. </w:t>
            </w:r>
          </w:p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Możliwość 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reinstalacji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i aktywacji oprogramowania na nowych urządzeniach.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br/>
              <w:t>Oprogramowanie musi być legalne i dostarczone z dokumentem potwierdzającym licencję (faktura, jeśli dostępny - certyfikat).</w:t>
            </w:r>
          </w:p>
        </w:tc>
      </w:tr>
    </w:tbl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Warunek równoważności dla MS Power BI Pro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Oferowane oprogramowanie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równoważne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być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profesjonalną, skalowalną platformą Business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Intelligence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(BI)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spełniającą co najmniej tę samą lub lepszą funkcjonalność i parametry techniczne co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Microsoft Power BI Pro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Równoważne rozwiązanie musi zapewniać zarówno narzędzie desktopowe do tworzenia, publikowania </w:t>
      </w:r>
      <w:r>
        <w:rPr>
          <w:rFonts w:ascii="Fira Sans" w:eastAsiaTheme="minorHAnsi" w:hAnsi="Fira Sans"/>
          <w:bCs/>
          <w:sz w:val="19"/>
          <w:szCs w:val="19"/>
          <w:lang w:eastAsia="en-US"/>
        </w:rPr>
        <w:t xml:space="preserve"> </w:t>
      </w:r>
      <w:r>
        <w:rPr>
          <w:rFonts w:ascii="Fira Sans" w:eastAsiaTheme="minorHAnsi" w:hAnsi="Fira Sans"/>
          <w:bCs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 udostępniania treści BI, a także umożliwiać współpracę i zarządzanie danymi na poziomie nie gorszym niż Power BI Pro.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komponentowe i funkcjonalne platformy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>Oferowany system BI zapewniać minimalną funkcjonalność:</w:t>
      </w:r>
    </w:p>
    <w:p w:rsidR="003D5B85" w:rsidRPr="00BA4869" w:rsidRDefault="003D5B85" w:rsidP="003D5B85">
      <w:pPr>
        <w:spacing w:after="0" w:line="240" w:lineRule="auto"/>
        <w:rPr>
          <w:rFonts w:ascii="Fira Sans" w:eastAsiaTheme="minorHAnsi" w:hAnsi="Fira Sans"/>
          <w:sz w:val="19"/>
          <w:szCs w:val="19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3D5B85" w:rsidRPr="00BA4869" w:rsidTr="00CD0A76">
        <w:tc>
          <w:tcPr>
            <w:tcW w:w="3114" w:type="dxa"/>
          </w:tcPr>
          <w:p w:rsidR="003D5B85" w:rsidRPr="00BA4869" w:rsidRDefault="003D5B85" w:rsidP="00CD0A76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b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b/>
                <w:sz w:val="19"/>
                <w:szCs w:val="19"/>
              </w:rPr>
              <w:t>Element</w:t>
            </w:r>
          </w:p>
        </w:tc>
        <w:tc>
          <w:tcPr>
            <w:tcW w:w="5948" w:type="dxa"/>
          </w:tcPr>
          <w:p w:rsidR="003D5B85" w:rsidRPr="00BA4869" w:rsidRDefault="003D5B85" w:rsidP="00CD0A76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b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b/>
                <w:sz w:val="19"/>
                <w:szCs w:val="19"/>
              </w:rPr>
              <w:t>Minimalna wymagana funkcjonalność</w:t>
            </w:r>
          </w:p>
        </w:tc>
      </w:tr>
      <w:tr w:rsidR="003D5B85" w:rsidRPr="00BA4869" w:rsidTr="00CD0A76">
        <w:tc>
          <w:tcPr>
            <w:tcW w:w="3114" w:type="dxa"/>
          </w:tcPr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>Narzędzie do tworzenia</w:t>
            </w:r>
          </w:p>
        </w:tc>
        <w:tc>
          <w:tcPr>
            <w:tcW w:w="5948" w:type="dxa"/>
          </w:tcPr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Aplikacja instalowana na komputerze (Windows 10/11), umożliwiająca: </w:t>
            </w:r>
          </w:p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1. Łączenie danych z co najmniej 50 różnych źródeł (np. bazy SQL, pliki Excel, usługi chmurowe, </w:t>
            </w:r>
            <w:proofErr w:type="spellStart"/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>OData</w:t>
            </w:r>
            <w:proofErr w:type="spellEnd"/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, API REST). </w:t>
            </w:r>
          </w:p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 xml:space="preserve">2. Modelowanie danych (tworzenie relacji, obliczanie miar i kolumn, transformacja danych ETL). </w:t>
            </w:r>
          </w:p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lastRenderedPageBreak/>
              <w:t>3. Tworzenie zaawansowanych wizualizacji (wykresy, mapy, tabele przestawne) i interaktywnych raportów.</w:t>
            </w:r>
          </w:p>
        </w:tc>
      </w:tr>
      <w:tr w:rsidR="003D5B85" w:rsidRPr="00BA4869" w:rsidTr="00CD0A76">
        <w:tc>
          <w:tcPr>
            <w:tcW w:w="3114" w:type="dxa"/>
          </w:tcPr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lastRenderedPageBreak/>
              <w:t>Język wzoru/modelowania</w:t>
            </w:r>
          </w:p>
        </w:tc>
        <w:tc>
          <w:tcPr>
            <w:tcW w:w="5948" w:type="dxa"/>
          </w:tcPr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>Obsługa zaawansowanego języka formuł (odpowiednik DAX) do tworzenia niestandardowych miar, obliczeń czasowych i złożonej logiki biznesowej.</w:t>
            </w:r>
          </w:p>
        </w:tc>
      </w:tr>
      <w:tr w:rsidR="003D5B85" w:rsidRPr="00BA4869" w:rsidTr="00CD0A76">
        <w:tc>
          <w:tcPr>
            <w:tcW w:w="3114" w:type="dxa"/>
          </w:tcPr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>Współpraca i zarządzanie</w:t>
            </w:r>
          </w:p>
        </w:tc>
        <w:tc>
          <w:tcPr>
            <w:tcW w:w="5948" w:type="dxa"/>
          </w:tcPr>
          <w:p w:rsidR="003D5B85" w:rsidRPr="00BA4869" w:rsidRDefault="003D5B85" w:rsidP="00CD0A76">
            <w:pPr>
              <w:spacing w:after="0" w:line="240" w:lineRule="auto"/>
              <w:rPr>
                <w:rFonts w:ascii="Fira Sans" w:eastAsia="Times New Roman" w:hAnsi="Fira Sans" w:cs="Times New Roman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>Możliwość zarządzania dostępem i rolami użytkowników do opublikowanych raportów, w tym tworzenie przestrzeni roboczych (</w:t>
            </w:r>
            <w:proofErr w:type="spellStart"/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>Workspaces</w:t>
            </w:r>
            <w:proofErr w:type="spellEnd"/>
            <w:r w:rsidRPr="00BA4869">
              <w:rPr>
                <w:rFonts w:ascii="Fira Sans" w:eastAsia="Times New Roman" w:hAnsi="Fira Sans" w:cs="Times New Roman"/>
                <w:sz w:val="19"/>
                <w:szCs w:val="19"/>
              </w:rPr>
              <w:t>) do pracy zespołowej.</w:t>
            </w:r>
          </w:p>
        </w:tc>
      </w:tr>
    </w:tbl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źródła danych i skalowalność</w:t>
      </w:r>
    </w:p>
    <w:p w:rsidR="003D5B85" w:rsidRPr="00BA4869" w:rsidRDefault="003D5B85" w:rsidP="003D5B85">
      <w:pPr>
        <w:numPr>
          <w:ilvl w:val="0"/>
          <w:numId w:val="28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Różnorodność źródeł danych: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system musi umożliwiać importowanie i łączenie danych z co najmniej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50 różnych, typowych źródeł danych biznesowych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w tym m.in.: pliki tekstowe/CSV, arkusze kalkulacyjne (Excel), relacyjne bazy danych (SQL Server, Oracle,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PostgreSQL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), usługi </w:t>
      </w:r>
      <w:r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>
        <w:rPr>
          <w:rFonts w:ascii="Fira Sans" w:eastAsiaTheme="minorHAnsi" w:hAnsi="Fira Sans"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w chmurze (SharePoint,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Azure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AWS, Google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Cloud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) oraz API webowe.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licencyjne i użyteczności</w:t>
      </w:r>
    </w:p>
    <w:p w:rsidR="003D5B85" w:rsidRPr="00BA4869" w:rsidRDefault="003D5B85" w:rsidP="003D5B85">
      <w:pPr>
        <w:numPr>
          <w:ilvl w:val="0"/>
          <w:numId w:val="2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Model licencjonowania: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subskrypcja na użytkownika na okres określony w SIWZ, zapewniająca dostęp do wszystkich aktualizacji i nowych funkcji.</w:t>
      </w:r>
    </w:p>
    <w:p w:rsidR="003D5B85" w:rsidRPr="00BA4869" w:rsidRDefault="003D5B85" w:rsidP="003D5B85">
      <w:pPr>
        <w:numPr>
          <w:ilvl w:val="0"/>
          <w:numId w:val="2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Wersja Językowa: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polska wersja językowa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interfejsu użytkownika </w:t>
      </w:r>
    </w:p>
    <w:p w:rsidR="003D5B85" w:rsidRDefault="003D5B85" w:rsidP="003D5B85">
      <w:pPr>
        <w:numPr>
          <w:ilvl w:val="0"/>
          <w:numId w:val="2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Interaktywność i wizualizacja: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możliwość tworzenia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 pełni interaktywnych wizualizacji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>
        <w:rPr>
          <w:rFonts w:ascii="Fira Sans" w:eastAsiaTheme="minorHAnsi" w:hAnsi="Fira Sans"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z funkcjami filtrowania,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drill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-down (zagłębiania) oraz dynamicznych parametrów.</w:t>
      </w:r>
    </w:p>
    <w:p w:rsidR="003D5B85" w:rsidRPr="00A53C51" w:rsidRDefault="003D5B85" w:rsidP="003D5B85">
      <w:pPr>
        <w:numPr>
          <w:ilvl w:val="0"/>
          <w:numId w:val="29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A53C51">
        <w:rPr>
          <w:rFonts w:ascii="Fira Sans" w:eastAsiaTheme="minorHAnsi" w:hAnsi="Fira Sans"/>
          <w:sz w:val="19"/>
          <w:szCs w:val="19"/>
          <w:lang w:eastAsia="en-US"/>
        </w:rPr>
        <w:t xml:space="preserve">Zamawiający posiada już na swoim koncie u producenta oprogramowania licencję </w:t>
      </w:r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>MS Power BI Pro</w:t>
      </w:r>
      <w:r w:rsidRPr="00A53C51">
        <w:rPr>
          <w:rFonts w:ascii="Fira Sans" w:eastAsiaTheme="minorHAnsi" w:hAnsi="Fira Sans"/>
          <w:sz w:val="19"/>
          <w:szCs w:val="19"/>
          <w:lang w:eastAsia="en-US"/>
        </w:rPr>
        <w:t xml:space="preserve">. </w:t>
      </w:r>
    </w:p>
    <w:p w:rsidR="003D5B85" w:rsidRPr="00A53C51" w:rsidRDefault="003D5B85" w:rsidP="003D5B85">
      <w:pPr>
        <w:spacing w:after="0" w:line="240" w:lineRule="auto"/>
        <w:ind w:left="720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A53C51">
        <w:rPr>
          <w:rFonts w:ascii="Fira Sans" w:eastAsiaTheme="minorHAnsi" w:hAnsi="Fira Sans"/>
          <w:sz w:val="19"/>
          <w:szCs w:val="19"/>
          <w:lang w:eastAsia="en-US"/>
        </w:rPr>
        <w:t xml:space="preserve">Jeżeli zaproponowana zostanie licencja </w:t>
      </w:r>
      <w:r w:rsidRPr="00A53C51">
        <w:rPr>
          <w:rFonts w:ascii="Fira Sans" w:eastAsiaTheme="minorHAnsi" w:hAnsi="Fira Sans"/>
          <w:bCs/>
          <w:sz w:val="19"/>
          <w:szCs w:val="19"/>
          <w:lang w:eastAsia="en-US"/>
        </w:rPr>
        <w:t>MS Power BI Pro</w:t>
      </w:r>
      <w:r w:rsidRPr="00A53C51">
        <w:rPr>
          <w:rFonts w:ascii="Fira Sans" w:eastAsiaTheme="minorHAnsi" w:hAnsi="Fira Sans"/>
          <w:sz w:val="19"/>
          <w:szCs w:val="19"/>
          <w:lang w:eastAsia="en-US"/>
        </w:rPr>
        <w:t>, to powinna pozwalać na kontynuację prac przez następne 12 miesięcy na posiadanym przez Zamawiającego koncie u producenta oprogramowania.</w:t>
      </w:r>
    </w:p>
    <w:p w:rsidR="003D5B85" w:rsidRPr="00BA4869" w:rsidRDefault="003D5B85" w:rsidP="003D5B85">
      <w:pPr>
        <w:spacing w:after="0" w:line="240" w:lineRule="auto"/>
        <w:ind w:left="720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Obowiązek </w:t>
      </w:r>
      <w:r>
        <w:rPr>
          <w:rFonts w:ascii="Fira Sans" w:eastAsiaTheme="minorHAnsi" w:hAnsi="Fira Sans"/>
          <w:sz w:val="19"/>
          <w:szCs w:val="19"/>
          <w:lang w:eastAsia="en-US"/>
        </w:rPr>
        <w:t>wykon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awcy: Wykonawca, oferujący oprogramowanie równoważne, jest zobowiązany do złożenia szczegółowej dokumentacji (karty katalogowe, oświadczenia producenta) lub tabeli porównawczej, która w sposób niebudzący wątpliwości potwierdzi spełnienie wszystkich minimalnych wymagań funkcjonalnych, technicznych i licencyjnych określonych powyżej.</w:t>
      </w:r>
    </w:p>
    <w:p w:rsidR="003D5B85" w:rsidRPr="00BA4869" w:rsidRDefault="003D5B85" w:rsidP="003D5B8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D5B85" w:rsidRPr="00BA4869" w:rsidRDefault="003D5B85" w:rsidP="003D5B85">
      <w:pPr>
        <w:spacing w:after="160" w:line="259" w:lineRule="auto"/>
        <w:rPr>
          <w:rFonts w:ascii="Fira Sans" w:eastAsia="Times New Roman" w:hAnsi="Fira Sans" w:cs="Calibri"/>
          <w:b/>
          <w:sz w:val="19"/>
          <w:szCs w:val="19"/>
        </w:rPr>
      </w:pPr>
      <w:r w:rsidRPr="00BA4869">
        <w:rPr>
          <w:rFonts w:ascii="Fira Sans" w:eastAsia="Times New Roman" w:hAnsi="Fira Sans" w:cs="Calibri"/>
          <w:b/>
          <w:sz w:val="19"/>
          <w:szCs w:val="19"/>
        </w:rPr>
        <w:br w:type="page"/>
      </w:r>
    </w:p>
    <w:p w:rsidR="003D5B85" w:rsidRPr="00BA4869" w:rsidRDefault="003D5B85" w:rsidP="003D5B85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 w:rsidRPr="00BA4869">
        <w:rPr>
          <w:rFonts w:ascii="Fira Sans" w:eastAsia="Times New Roman" w:hAnsi="Fira Sans" w:cs="Calibri"/>
          <w:b/>
          <w:sz w:val="19"/>
          <w:szCs w:val="19"/>
        </w:rPr>
        <w:lastRenderedPageBreak/>
        <w:t xml:space="preserve">Tabela </w:t>
      </w:r>
      <w:r>
        <w:rPr>
          <w:rFonts w:ascii="Fira Sans" w:eastAsia="Times New Roman" w:hAnsi="Fira Sans" w:cs="Calibri"/>
          <w:b/>
          <w:sz w:val="19"/>
          <w:szCs w:val="19"/>
        </w:rPr>
        <w:t>4</w:t>
      </w:r>
      <w:r w:rsidRPr="00BA4869">
        <w:rPr>
          <w:rFonts w:ascii="Fira Sans" w:eastAsia="Times New Roman" w:hAnsi="Fira Sans" w:cs="Calibri"/>
          <w:b/>
          <w:sz w:val="19"/>
          <w:szCs w:val="19"/>
        </w:rPr>
        <w:t>. Licencja na zintegrowane środowisko programistyczne – 15 sztuk</w:t>
      </w:r>
    </w:p>
    <w:p w:rsidR="003D5B85" w:rsidRPr="00BA4869" w:rsidRDefault="003D5B85" w:rsidP="003D5B85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876"/>
        <w:gridCol w:w="5954"/>
      </w:tblGrid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B85" w:rsidRPr="00BA4869" w:rsidRDefault="003D5B85" w:rsidP="00CD0A76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B85" w:rsidRPr="00BA4869" w:rsidRDefault="003D5B85" w:rsidP="00CD0A76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B85" w:rsidRPr="00BA4869" w:rsidRDefault="003D5B85" w:rsidP="00CD0A76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Rodzaj oprogramowania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Zintegrowanego środowisko programistyczne (IDE) przeznaczone do tworzenia aplikacji, stron internetowych, usług sieciowych oraz rozwiązań dla systemów Windows, 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macOS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, Android, iOS oraz platformy .NET.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Przykładowe oprogramowanie spełniające wszystkie wymagania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Microsoft Visual Studio 2022 Professional lub oprogramowanie równoważne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Liczba stanowisk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1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Funkcjonalność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68"/>
              <w:gridCol w:w="2870"/>
            </w:tblGrid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Tworzenie aplikacji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Obsługa aplikacji desktopowych, webowych, mobilnych i chmurowych.</w:t>
                  </w:r>
                </w:p>
              </w:tc>
            </w:tr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Wsparcie wielu języków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Minimum C#, C++,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Python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, JavaScript,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TypeScript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, HTML, CSS, XAML.</w:t>
                  </w:r>
                </w:p>
              </w:tc>
            </w:tr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Integracja z bazami danych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SQL Server, MySQL,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PostgreSQL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SQLite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.</w:t>
                  </w:r>
                </w:p>
              </w:tc>
            </w:tr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Współpraca zespołowa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Możliwość współdzielenia projektów i kodu przez Git, GitHub,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Azure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 xml:space="preserve"> </w:t>
                  </w:r>
                  <w:proofErr w:type="spellStart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DevOps</w:t>
                  </w:r>
                  <w:proofErr w:type="spellEnd"/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.</w:t>
                  </w:r>
                </w:p>
              </w:tc>
            </w:tr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Automatyzacja procesów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Wsparcie dla CI/CD, testów jednostkowych i automatycznych wdrożeń.</w:t>
                  </w:r>
                </w:p>
              </w:tc>
            </w:tr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Debugowanie i profilowanie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Wbudowane narzędzia do analizy wydajności i diagnostyki błędów.</w:t>
                  </w:r>
                </w:p>
              </w:tc>
            </w:tr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Personalizacja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Możliwość instalacji rozszerzeń i wtyczek.</w:t>
                  </w:r>
                </w:p>
              </w:tc>
            </w:tr>
            <w:tr w:rsidR="003D5B85" w:rsidRPr="00BA4869" w:rsidTr="00CD0A76"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Zgodność z RODO</w:t>
                  </w:r>
                </w:p>
              </w:tc>
              <w:tc>
                <w:tcPr>
                  <w:tcW w:w="2880" w:type="dxa"/>
                </w:tcPr>
                <w:p w:rsidR="003D5B85" w:rsidRPr="00BA4869" w:rsidRDefault="003D5B85" w:rsidP="00CD0A76">
                  <w:pPr>
                    <w:spacing w:after="0" w:line="240" w:lineRule="auto"/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</w:pPr>
                  <w:r w:rsidRPr="00BA4869">
                    <w:rPr>
                      <w:rFonts w:ascii="Fira Sans" w:eastAsia="Times New Roman" w:hAnsi="Fira Sans" w:cs="Times New Roman"/>
                      <w:sz w:val="19"/>
                      <w:szCs w:val="19"/>
                    </w:rPr>
                    <w:t>Dane użytkowników i projekty muszą być przechowywane zgodnie z RODO.</w:t>
                  </w:r>
                </w:p>
              </w:tc>
            </w:tr>
          </w:tbl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Wersja językowa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polska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Wymagania systemowe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min. MS Windows 10, MS Windows 11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Okres licencji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bezterminowa/dożywotnia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Przeznaczenie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dla instytucji rządowych</w:t>
            </w:r>
          </w:p>
        </w:tc>
      </w:tr>
      <w:tr w:rsidR="003D5B85" w:rsidRPr="00BA4869" w:rsidTr="00CD0A76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3D5B85">
            <w:pPr>
              <w:numPr>
                <w:ilvl w:val="0"/>
                <w:numId w:val="30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Wymagania dodatkowe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Oprogramowanie musi być dostarczone w najnowszej dostępnej wersji na dzień składania oferty.   </w:t>
            </w:r>
          </w:p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najnowszych aktualizacji i funkcji przez cały okres licencji. </w:t>
            </w:r>
          </w:p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pomocy technicznej producenta lub autoryzowanego partnera. </w:t>
            </w:r>
          </w:p>
          <w:p w:rsidR="003D5B85" w:rsidRPr="00BA4869" w:rsidRDefault="003D5B85" w:rsidP="00CD0A76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Możliwość 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reinstalacji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i aktywacji oprogramowania na nowych urządzeniach.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br/>
              <w:t>Oprogramowanie musi być legalne i dostarczone z dokumentem potwierdzającym licencję (faktura, jeśli dostępny - certyfikat).</w:t>
            </w:r>
          </w:p>
        </w:tc>
      </w:tr>
    </w:tbl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Warunek równoważności dla Microsoft Visual Studio 2022 Professional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Oferowane oprogramowanie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równoważne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być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profesjonalnym, zintegrowanym środowiskiem programistycznym (IDE)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spełniającym co najmniej tę samą lub lepszą funkcjonalność i parametry techniczne co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Microsoft Visual Studio 2022 Professional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podstawowe IDE i obsługa języków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>Oprogramowanie równoważne musi zapewniać zintegrowane środowisko programistyczne (IDE) dla profesjonalnej pracy, w tym:</w:t>
      </w:r>
    </w:p>
    <w:p w:rsidR="003D5B85" w:rsidRPr="00BA4869" w:rsidRDefault="003D5B85" w:rsidP="003D5B85">
      <w:pPr>
        <w:numPr>
          <w:ilvl w:val="0"/>
          <w:numId w:val="31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Obsługa kluczowych języków: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wbudowane wsparcie dla tworzenia, kompilowania i debugowania projektów w językach: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C#, C++, JavaScript/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TypeScript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,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Python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, i/lub F#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3D5B85" w:rsidRPr="00BA4869" w:rsidRDefault="003D5B85" w:rsidP="003D5B85">
      <w:pPr>
        <w:numPr>
          <w:ilvl w:val="0"/>
          <w:numId w:val="31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Edytor kodu: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zaawansowany edytor kodu z następującymi funkcjami:</w:t>
      </w:r>
    </w:p>
    <w:p w:rsidR="003D5B85" w:rsidRPr="00BA4869" w:rsidRDefault="003D5B85" w:rsidP="003D5B85">
      <w:pPr>
        <w:numPr>
          <w:ilvl w:val="1"/>
          <w:numId w:val="31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IntelliSense / uzupełnianie kodu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 kontekstową pomocą i podpowiedziami.</w:t>
      </w:r>
    </w:p>
    <w:p w:rsidR="003D5B85" w:rsidRPr="00BA4869" w:rsidRDefault="003D5B85" w:rsidP="003D5B85">
      <w:pPr>
        <w:numPr>
          <w:ilvl w:val="1"/>
          <w:numId w:val="31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lastRenderedPageBreak/>
        <w:t>Refaktoryzacja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kodu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(automatyczna zmiana nazw, wyodrębnianie metod).</w:t>
      </w:r>
    </w:p>
    <w:p w:rsidR="003D5B85" w:rsidRPr="00BA4869" w:rsidRDefault="003D5B85" w:rsidP="003D5B85">
      <w:pPr>
        <w:numPr>
          <w:ilvl w:val="1"/>
          <w:numId w:val="31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Wyróżnianie składni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formatowanie kodu.</w:t>
      </w:r>
    </w:p>
    <w:p w:rsidR="003D5B85" w:rsidRPr="00BA4869" w:rsidRDefault="003D5B85" w:rsidP="003D5B85">
      <w:pPr>
        <w:numPr>
          <w:ilvl w:val="0"/>
          <w:numId w:val="31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Kompilacja i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build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wbudowane narzędzia do zarządzania kompilacją projektów, obsługujące standardowe systemy budowania (np.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MSBuild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CMake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lub równoważne).</w:t>
      </w:r>
    </w:p>
    <w:p w:rsidR="003D5B85" w:rsidRPr="00BA4869" w:rsidRDefault="003D5B85" w:rsidP="003D5B85">
      <w:pPr>
        <w:numPr>
          <w:ilvl w:val="0"/>
          <w:numId w:val="31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Kompatybilność systemowa: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obsługa i stabilne działanie na systemach operacyjnych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Windows 10/11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(zgodnie z wymaganiem Zamawiającego).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debugowania i testowania</w:t>
      </w:r>
    </w:p>
    <w:p w:rsidR="003D5B85" w:rsidRPr="00BA4869" w:rsidRDefault="003D5B85" w:rsidP="003D5B85">
      <w:pPr>
        <w:numPr>
          <w:ilvl w:val="0"/>
          <w:numId w:val="32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Zaawansowany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debugger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wbudowany, wydajny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debugger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umożliwiający:</w:t>
      </w:r>
    </w:p>
    <w:p w:rsidR="003D5B85" w:rsidRPr="00BA4869" w:rsidRDefault="003D5B85" w:rsidP="003D5B85">
      <w:pPr>
        <w:numPr>
          <w:ilvl w:val="1"/>
          <w:numId w:val="32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Ustawianie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punktów przerwania (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breakpoints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warunków ich aktywacji.</w:t>
      </w:r>
    </w:p>
    <w:p w:rsidR="003D5B85" w:rsidRPr="00BA4869" w:rsidRDefault="003D5B85" w:rsidP="003D5B85">
      <w:pPr>
        <w:numPr>
          <w:ilvl w:val="1"/>
          <w:numId w:val="32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Inspekcję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zmiennych, stosu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wywołań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wątków w czasie rzeczywistym.</w:t>
      </w:r>
    </w:p>
    <w:p w:rsidR="003D5B85" w:rsidRPr="00BA4869" w:rsidRDefault="003D5B85" w:rsidP="003D5B85">
      <w:pPr>
        <w:numPr>
          <w:ilvl w:val="1"/>
          <w:numId w:val="32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Wykonywanie kodu krok po kroku (Step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Into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Step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Over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, Step Out).</w:t>
      </w:r>
    </w:p>
    <w:p w:rsidR="003D5B85" w:rsidRPr="00BA4869" w:rsidRDefault="003D5B85" w:rsidP="003D5B85">
      <w:pPr>
        <w:numPr>
          <w:ilvl w:val="1"/>
          <w:numId w:val="32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Obsługa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debugowania zdalnego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remote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debugging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) na innym komputerze lub urządzeniu.</w:t>
      </w:r>
    </w:p>
    <w:p w:rsidR="003D5B85" w:rsidRPr="00BA4869" w:rsidRDefault="003D5B85" w:rsidP="003D5B85">
      <w:pPr>
        <w:numPr>
          <w:ilvl w:val="0"/>
          <w:numId w:val="32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Narzędzia diagnostyczne: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wbudowane narzędzia do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profilowania wydajności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(np. zużycie pamięci, czas wykonywania), identyfikowania wąskich gardeł i wycieków pamięci.</w:t>
      </w:r>
    </w:p>
    <w:p w:rsidR="003D5B85" w:rsidRPr="00BA4869" w:rsidRDefault="003D5B85" w:rsidP="003D5B85">
      <w:pPr>
        <w:numPr>
          <w:ilvl w:val="0"/>
          <w:numId w:val="32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Testowanie: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zintegrowany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framework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do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testowania jednostkowego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(Unit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Testing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) z możliwością uruchamiania, zarządzania i wyświetlania wyników testów wewnątrz IDE.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integracji i współpracy zespołowej</w:t>
      </w:r>
    </w:p>
    <w:p w:rsidR="003D5B85" w:rsidRPr="00BA4869" w:rsidRDefault="003D5B85" w:rsidP="003D5B85">
      <w:pPr>
        <w:numPr>
          <w:ilvl w:val="0"/>
          <w:numId w:val="33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Wsparcie dla repozytoriów: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wbudowana i natywna integracja z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systemami kontroli wersji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(np. Git, Team Foundation Version Control lub równoważne), w tym możliwość klonowania,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committowania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pushowania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/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pullowania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zarządzania gałęziami.</w:t>
      </w:r>
    </w:p>
    <w:p w:rsidR="003D5B85" w:rsidRPr="00BA4869" w:rsidRDefault="003D5B85" w:rsidP="003D5B85">
      <w:pPr>
        <w:numPr>
          <w:ilvl w:val="0"/>
          <w:numId w:val="33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Integracja z chmurą: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wbudowane narzędzia lub rozszerzenia do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tworzenia, konfigurowania i wdrażania aplikacji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bezpośrednio na platformach chmurowych (np.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Azure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, AWS, Google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Cloud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lub równoważne).</w:t>
      </w:r>
    </w:p>
    <w:p w:rsidR="003D5B85" w:rsidRPr="00BA4869" w:rsidRDefault="003D5B85" w:rsidP="003D5B85">
      <w:pPr>
        <w:numPr>
          <w:ilvl w:val="0"/>
          <w:numId w:val="33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Wsparcie dla .NET: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pełne wsparcie dla rozwoju aplikacji opartych na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.NET Framework, .NET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Core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/ .NET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(w tym .NET MAUI i ASP.NET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Core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).</w:t>
      </w:r>
    </w:p>
    <w:p w:rsidR="003D5B85" w:rsidRPr="00BA4869" w:rsidRDefault="003D5B85" w:rsidP="003D5B85">
      <w:pPr>
        <w:numPr>
          <w:ilvl w:val="0"/>
          <w:numId w:val="33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Współpraca zdalna: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wbudowane lub łatwe do zainstalowania narzędzia do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współpracy programistycznej w czasie rzeczywistym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(np. udostępnianie sesji edytora i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debugera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– odpowiednik Live </w:t>
      </w:r>
      <w:proofErr w:type="spellStart"/>
      <w:r w:rsidRPr="00BA4869">
        <w:rPr>
          <w:rFonts w:ascii="Fira Sans" w:eastAsiaTheme="minorHAnsi" w:hAnsi="Fira Sans"/>
          <w:sz w:val="19"/>
          <w:szCs w:val="19"/>
          <w:lang w:eastAsia="en-US"/>
        </w:rPr>
        <w:t>Share</w:t>
      </w:r>
      <w:proofErr w:type="spellEnd"/>
      <w:r w:rsidRPr="00BA4869">
        <w:rPr>
          <w:rFonts w:ascii="Fira Sans" w:eastAsiaTheme="minorHAnsi" w:hAnsi="Fira Sans"/>
          <w:sz w:val="19"/>
          <w:szCs w:val="19"/>
          <w:lang w:eastAsia="en-US"/>
        </w:rPr>
        <w:t>).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dodatkowe i licencyjne</w:t>
      </w:r>
    </w:p>
    <w:p w:rsidR="003D5B85" w:rsidRPr="00BA4869" w:rsidRDefault="003D5B85" w:rsidP="003D5B85">
      <w:pPr>
        <w:numPr>
          <w:ilvl w:val="0"/>
          <w:numId w:val="34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Typ licencji: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licencja bezterminowa/dożywotnia na użytkownika lub stanowisko (zgodnie </w:t>
      </w:r>
      <w:r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>
        <w:rPr>
          <w:rFonts w:ascii="Fira Sans" w:eastAsiaTheme="minorHAnsi" w:hAnsi="Fira Sans"/>
          <w:sz w:val="19"/>
          <w:szCs w:val="19"/>
          <w:lang w:eastAsia="en-US"/>
        </w:rPr>
        <w:br/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z wymaganiem Zamawiającego).</w:t>
      </w:r>
    </w:p>
    <w:p w:rsidR="003D5B85" w:rsidRPr="00BA4869" w:rsidRDefault="003D5B85" w:rsidP="003D5B85">
      <w:pPr>
        <w:numPr>
          <w:ilvl w:val="0"/>
          <w:numId w:val="34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>Kompatybilność: bezproblemowa współpraca z systemami operacyjnymi Windows 10/11.</w:t>
      </w: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3D5B85" w:rsidRPr="00BA4869" w:rsidRDefault="003D5B85" w:rsidP="003D5B85">
      <w:pPr>
        <w:spacing w:after="0" w:line="240" w:lineRule="auto"/>
        <w:jc w:val="both"/>
        <w:rPr>
          <w:rFonts w:ascii="Fira Sans" w:eastAsia="Times New Roman" w:hAnsi="Fira Sans" w:cs="Times New Roman"/>
          <w:sz w:val="24"/>
          <w:szCs w:val="24"/>
        </w:rPr>
      </w:pPr>
      <w:r w:rsidRPr="00BA4869">
        <w:rPr>
          <w:rFonts w:ascii="Fira Sans" w:eastAsiaTheme="minorHAnsi" w:hAnsi="Fira Sans" w:cs="Cambria Math"/>
          <w:bCs/>
          <w:sz w:val="19"/>
          <w:szCs w:val="19"/>
          <w:lang w:eastAsia="en-US"/>
        </w:rPr>
        <w:t xml:space="preserve">Obowiązek </w:t>
      </w:r>
      <w:r>
        <w:rPr>
          <w:rFonts w:ascii="Fira Sans" w:eastAsiaTheme="minorHAnsi" w:hAnsi="Fira Sans" w:cs="Cambria Math"/>
          <w:bCs/>
          <w:sz w:val="19"/>
          <w:szCs w:val="19"/>
          <w:lang w:eastAsia="en-US"/>
        </w:rPr>
        <w:t>wykon</w:t>
      </w:r>
      <w:r w:rsidRPr="00BA4869">
        <w:rPr>
          <w:rFonts w:ascii="Fira Sans" w:eastAsiaTheme="minorHAnsi" w:hAnsi="Fira Sans" w:cs="Cambria Math"/>
          <w:bCs/>
          <w:sz w:val="19"/>
          <w:szCs w:val="19"/>
          <w:lang w:eastAsia="en-US"/>
        </w:rPr>
        <w:t>awcy: Wykonawca, oferujący oprogramowanie równoważne, jest zobowiązany do złożenia szczegółowej dokumentacji (karty katalogowe, oświadczenia producenta) lub tabeli porównawczej, która w sposób niebudzący wątpliwości potwierdzi spełnienie wszystkich minimalnych wymagań funkcjonalnych, technicznych i licencyjnych określonych powyżej.</w:t>
      </w:r>
    </w:p>
    <w:p w:rsidR="003D5B85" w:rsidRPr="00BA4869" w:rsidRDefault="003D5B85" w:rsidP="003D5B8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4869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Times New Roman"/>
          <w:sz w:val="19"/>
          <w:szCs w:val="19"/>
        </w:rPr>
      </w:pPr>
    </w:p>
    <w:p w:rsidR="0023780D" w:rsidRDefault="0023780D" w:rsidP="00BA4869">
      <w:pPr>
        <w:spacing w:after="0" w:line="240" w:lineRule="auto"/>
        <w:rPr>
          <w:rFonts w:ascii="Fira Sans" w:eastAsia="Times New Roman" w:hAnsi="Fira Sans" w:cs="Calibri"/>
          <w:b/>
          <w:sz w:val="24"/>
          <w:szCs w:val="24"/>
        </w:rPr>
      </w:pPr>
      <w:r w:rsidRPr="00FC6A56">
        <w:rPr>
          <w:rFonts w:ascii="Fira Sans" w:eastAsia="Times New Roman" w:hAnsi="Fira Sans" w:cs="Calibri"/>
          <w:b/>
          <w:sz w:val="24"/>
          <w:szCs w:val="24"/>
        </w:rPr>
        <w:t>Część IV</w:t>
      </w:r>
      <w:r w:rsidR="003D5B85">
        <w:rPr>
          <w:rFonts w:ascii="Fira Sans" w:eastAsia="Times New Roman" w:hAnsi="Fira Sans" w:cs="Calibri"/>
          <w:b/>
          <w:sz w:val="24"/>
          <w:szCs w:val="24"/>
        </w:rPr>
        <w:t>.</w:t>
      </w:r>
      <w:r w:rsidR="00FC6A56">
        <w:rPr>
          <w:rFonts w:ascii="Fira Sans" w:eastAsia="Times New Roman" w:hAnsi="Fira Sans" w:cs="Calibri"/>
          <w:b/>
          <w:sz w:val="24"/>
          <w:szCs w:val="24"/>
        </w:rPr>
        <w:t xml:space="preserve"> Zamówienia</w:t>
      </w:r>
    </w:p>
    <w:p w:rsidR="00FC6A56" w:rsidRPr="00FC6A56" w:rsidRDefault="00FC6A56" w:rsidP="00BA4869">
      <w:pPr>
        <w:spacing w:after="0" w:line="240" w:lineRule="auto"/>
        <w:rPr>
          <w:rFonts w:ascii="Fira Sans" w:eastAsia="Times New Roman" w:hAnsi="Fira Sans" w:cs="Calibri"/>
          <w:b/>
          <w:sz w:val="24"/>
          <w:szCs w:val="24"/>
        </w:rPr>
      </w:pP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  <w:r w:rsidRPr="00BA4869">
        <w:rPr>
          <w:rFonts w:ascii="Fira Sans" w:eastAsia="Times New Roman" w:hAnsi="Fira Sans" w:cs="Calibri"/>
          <w:b/>
          <w:sz w:val="19"/>
          <w:szCs w:val="19"/>
        </w:rPr>
        <w:t xml:space="preserve">Tabela </w:t>
      </w:r>
      <w:r w:rsidR="003D5B85">
        <w:rPr>
          <w:rFonts w:ascii="Fira Sans" w:eastAsia="Times New Roman" w:hAnsi="Fira Sans" w:cs="Calibri"/>
          <w:b/>
          <w:sz w:val="19"/>
          <w:szCs w:val="19"/>
        </w:rPr>
        <w:t>1</w:t>
      </w:r>
      <w:r w:rsidRPr="00BA4869">
        <w:rPr>
          <w:rFonts w:ascii="Fira Sans" w:eastAsia="Times New Roman" w:hAnsi="Fira Sans" w:cs="Calibri"/>
          <w:b/>
          <w:sz w:val="19"/>
          <w:szCs w:val="19"/>
        </w:rPr>
        <w:t>. Licencja na pakiet oprogramowania biurowego – 1</w:t>
      </w:r>
      <w:r w:rsidR="00BA47AC">
        <w:rPr>
          <w:rFonts w:ascii="Fira Sans" w:eastAsia="Times New Roman" w:hAnsi="Fira Sans" w:cs="Calibri"/>
          <w:b/>
          <w:sz w:val="19"/>
          <w:szCs w:val="19"/>
        </w:rPr>
        <w:t>60</w:t>
      </w:r>
      <w:r w:rsidRPr="00BA4869">
        <w:rPr>
          <w:rFonts w:ascii="Fira Sans" w:eastAsia="Times New Roman" w:hAnsi="Fira Sans" w:cs="Calibri"/>
          <w:b/>
          <w:sz w:val="19"/>
          <w:szCs w:val="19"/>
        </w:rPr>
        <w:t xml:space="preserve"> sztuk</w:t>
      </w:r>
    </w:p>
    <w:p w:rsidR="00BA4869" w:rsidRPr="00BA4869" w:rsidRDefault="00BA4869" w:rsidP="00BA4869">
      <w:pPr>
        <w:spacing w:after="0" w:line="240" w:lineRule="auto"/>
        <w:rPr>
          <w:rFonts w:ascii="Fira Sans" w:eastAsia="Times New Roman" w:hAnsi="Fira Sans" w:cs="Calibri"/>
          <w:b/>
          <w:sz w:val="19"/>
          <w:szCs w:val="19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876"/>
        <w:gridCol w:w="5954"/>
      </w:tblGrid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Lp.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Parametr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69" w:rsidRPr="00BA4869" w:rsidRDefault="00BA4869" w:rsidP="00BA4869">
            <w:pPr>
              <w:spacing w:after="0" w:line="256" w:lineRule="auto"/>
              <w:jc w:val="center"/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b/>
                <w:sz w:val="19"/>
                <w:szCs w:val="19"/>
                <w:lang w:eastAsia="en-US"/>
              </w:rPr>
              <w:t>Wymagania minimalne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Rodzaj oprogramowania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69" w:rsidRPr="00BA4869" w:rsidRDefault="00BA4869" w:rsidP="00655253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Pakiet oprogramowania biurowego przeznaczonego do użytku w środowisku firmowym i instytucjonalnym, umożliwiający tworzenie, edycję, analizę oraz prezentację doku</w:t>
            </w:r>
            <w:r w:rsidR="00655253">
              <w:rPr>
                <w:rFonts w:ascii="Fira Sans" w:eastAsia="Times New Roman" w:hAnsi="Fira Sans" w:cs="Calibri"/>
                <w:sz w:val="19"/>
                <w:szCs w:val="19"/>
              </w:rPr>
              <w:t xml:space="preserve">mentów, arkuszy kalkulacyjnych 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i materiałów multimedialnych</w:t>
            </w:r>
            <w:r w:rsidR="00655253">
              <w:rPr>
                <w:rFonts w:ascii="Fira Sans" w:eastAsia="Times New Roman" w:hAnsi="Fira Sans" w:cs="Calibri"/>
                <w:sz w:val="19"/>
                <w:szCs w:val="19"/>
              </w:rPr>
              <w:t xml:space="preserve">. 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Przykładowe oprogramowanie spełniające wszystkie wymagania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992217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Microsoft Office 2024 </w:t>
            </w:r>
            <w:r w:rsidR="00992217">
              <w:rPr>
                <w:rFonts w:ascii="Fira Sans" w:eastAsia="Times New Roman" w:hAnsi="Fira Sans" w:cs="Calibri"/>
                <w:sz w:val="19"/>
                <w:szCs w:val="19"/>
              </w:rPr>
              <w:t>Standard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lub oprogramowanie równoważne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Liczba stanowisk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Funkcjonalność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Edytor tekstu do tworzenia i edycji dokumentów.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Arkusz kalkulacyjny do analizy danych i raportowania.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Aplikacja do tworzenia prezentacji multimedialnych.</w:t>
            </w:r>
          </w:p>
          <w:p w:rsidR="00BA4869" w:rsidRPr="00BA4869" w:rsidRDefault="00BA4869" w:rsidP="00992217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Klient poczty elektronicznej, kalendarza i kontaktów.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Aplikacja do tworzenia i organizacji notatek.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- </w:t>
            </w:r>
            <w:r w:rsidR="00992217">
              <w:rPr>
                <w:rFonts w:ascii="Fira Sans" w:eastAsia="Times New Roman" w:hAnsi="Fira Sans" w:cs="Calibri"/>
                <w:sz w:val="19"/>
                <w:szCs w:val="19"/>
              </w:rPr>
              <w:t>Obsługa plików DOCX, XLSX, PPTX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oraz starszych wersji formatów Office.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Obsługa szyfrowania plików, haseł i podpisów cyfrowych.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Obsługa makr i skryptów VBA.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Optymalizacja do pracy na komputerach biurowych z ograniczonymi zasobami.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Możliwość importu/eksportu danych do systemów finansowo-księgowych.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Możliwość instalacji aktualizacji bezpieczeństwa w trybie offline.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- Opcja instalacji lokalnej (bez konieczności połączenia z chmurą).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- Możliwość wdrożenia w środowisku domenowym Active Directory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Wersja językowa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polska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Wymagania systemowe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min. MS Windows 10, MS Windows 11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 xml:space="preserve">Okres licencji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bezterminowa/dożywotnia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Przeznaczenie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dla instytucji rządowych</w:t>
            </w:r>
          </w:p>
        </w:tc>
      </w:tr>
      <w:tr w:rsidR="00BA4869" w:rsidRPr="00BA4869" w:rsidTr="00E06561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numPr>
                <w:ilvl w:val="0"/>
                <w:numId w:val="16"/>
              </w:numPr>
              <w:spacing w:after="0" w:line="256" w:lineRule="auto"/>
              <w:contextualSpacing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pacing w:after="0" w:line="256" w:lineRule="auto"/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  <w:lang w:eastAsia="en-US"/>
              </w:rPr>
              <w:t>Wymagania dodatkowe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Oprogramowanie musi być dostarczone w najnowszej dostępnej wersji na dzień składania oferty.  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najnowszych aktualizacji i funkcji przez cały okres licencji.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Dostęp do pomocy technicznej producenta lub autoryzowanego partnera. </w:t>
            </w:r>
          </w:p>
          <w:p w:rsidR="00BA4869" w:rsidRPr="00BA4869" w:rsidRDefault="00BA4869" w:rsidP="00BA4869">
            <w:pPr>
              <w:suppressAutoHyphens/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</w:rPr>
            </w:pP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Możliwość </w:t>
            </w:r>
            <w:proofErr w:type="spellStart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>reinstalacji</w:t>
            </w:r>
            <w:proofErr w:type="spellEnd"/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t xml:space="preserve"> i aktywacji oprogramowania na nowych urządzeniach.</w:t>
            </w:r>
            <w:r w:rsidRPr="00BA4869">
              <w:rPr>
                <w:rFonts w:ascii="Fira Sans" w:eastAsia="Times New Roman" w:hAnsi="Fira Sans" w:cs="Calibri"/>
                <w:sz w:val="19"/>
                <w:szCs w:val="19"/>
              </w:rPr>
              <w:br/>
              <w:t>Oprogramowanie musi być legalne i dostarczone z dokumentem potwierdzającym licencję (faktura, jeśli dostępny - certyfikat).</w:t>
            </w:r>
          </w:p>
        </w:tc>
      </w:tr>
    </w:tbl>
    <w:p w:rsidR="00992217" w:rsidRDefault="00992217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 xml:space="preserve">Warunek Równoważności dla MS Office 2024 </w:t>
      </w:r>
      <w:r w:rsidR="00992217">
        <w:rPr>
          <w:rFonts w:ascii="Fira Sans" w:eastAsiaTheme="minorHAnsi" w:hAnsi="Fira Sans"/>
          <w:b/>
          <w:bCs/>
          <w:sz w:val="19"/>
          <w:szCs w:val="19"/>
          <w:lang w:eastAsia="en-US"/>
        </w:rPr>
        <w:t>Standard</w:t>
      </w:r>
    </w:p>
    <w:p w:rsid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Oferowane oprogramowanie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równoważne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posiadać co najmniej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tę samą lub lepszą funkcjonalność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oraz parametry techniczne jak pakiet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Microsoft Office 2024 </w:t>
      </w:r>
      <w:r w:rsidR="00992217">
        <w:rPr>
          <w:rFonts w:ascii="Fira Sans" w:eastAsiaTheme="minorHAnsi" w:hAnsi="Fira Sans"/>
          <w:bCs/>
          <w:sz w:val="19"/>
          <w:szCs w:val="19"/>
          <w:lang w:eastAsia="en-US"/>
        </w:rPr>
        <w:t>Standard.</w:t>
      </w:r>
    </w:p>
    <w:p w:rsidR="00992217" w:rsidRPr="00BA4869" w:rsidRDefault="00992217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techniczno-funkcjonalne pakietu biurowego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Pakiet biurowy, oferowany jako równoważny, musi być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licencją wieczystą/bezterminową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spełniać następujące minimalne wymagania poprzez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wbudowane mechanizmy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, bez użycia dodatkowych aplikacji, dodatkowych kosztów, ani konieczności subskrypcji/opłat cyklicznych:</w:t>
      </w:r>
    </w:p>
    <w:p w:rsidR="00BA4869" w:rsidRPr="00BA4869" w:rsidRDefault="00BA4869" w:rsidP="003D2C7C">
      <w:pPr>
        <w:numPr>
          <w:ilvl w:val="0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Komponenty: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zawierać co najmniej następujące zintegrowane aplikacje (z jednolitą obsługą i interfejsem):</w:t>
      </w:r>
    </w:p>
    <w:p w:rsidR="00BA4869" w:rsidRP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Edytor tekstu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(odpowiednik Word).</w:t>
      </w:r>
    </w:p>
    <w:p w:rsidR="00BA4869" w:rsidRP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Arkusz kalkulacyjny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(odpowiednik Excel).</w:t>
      </w:r>
    </w:p>
    <w:p w:rsidR="00BA4869" w:rsidRP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Program do tworzenia i prowadzenia prezentacji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(odpowiednik PowerPoint).</w:t>
      </w:r>
    </w:p>
    <w:p w:rsidR="00BA4869" w:rsidRP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lastRenderedPageBreak/>
        <w:t>Program do zarządzania informacją osobistą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(klient poczty elektronicznej, kalendarz, kontakty, zadania — odpowiednik Outlook).</w:t>
      </w:r>
    </w:p>
    <w:p w:rsidR="00BA4869" w:rsidRPr="00BA4869" w:rsidRDefault="00BA4869" w:rsidP="003D2C7C">
      <w:pPr>
        <w:numPr>
          <w:ilvl w:val="0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Wersja Językowa: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pełna polska wersja językowa interfejsu użytkownika, pomocy i dokumentacji.</w:t>
      </w:r>
    </w:p>
    <w:p w:rsidR="00BA4869" w:rsidRPr="00BA4869" w:rsidRDefault="00BA4869" w:rsidP="003D2C7C">
      <w:pPr>
        <w:numPr>
          <w:ilvl w:val="0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Architektura: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dostępność pakietu w wersji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64-bitowej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numPr>
          <w:ilvl w:val="0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Współpraca z plikami:</w:t>
      </w:r>
    </w:p>
    <w:p w:rsidR="00BA4869" w:rsidRP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Pełna i bezproblemowa kompatybilność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z formatami plików Microsoft Office (DOCX, XLSX, PPTX, EML/MSG) w wersji co najmniej </w:t>
      </w:r>
      <w:r w:rsidR="00992217">
        <w:rPr>
          <w:rFonts w:ascii="Fira Sans" w:eastAsiaTheme="minorHAnsi" w:hAnsi="Fira Sans"/>
          <w:bCs/>
          <w:sz w:val="19"/>
          <w:szCs w:val="19"/>
          <w:lang w:eastAsia="en-US"/>
        </w:rPr>
        <w:t xml:space="preserve">Office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2021/2024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, w zakresie otwierania, edytowania i zapisywania dokumentów bez utraty danych, formatowania, osadzonych obiektów, formuł (Excel) czy animacji (PowerPoint).</w:t>
      </w:r>
    </w:p>
    <w:p w:rsid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Wsparcie dla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standardu Open </w:t>
      </w:r>
      <w:proofErr w:type="spellStart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Document</w:t>
      </w:r>
      <w:proofErr w:type="spellEnd"/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 xml:space="preserve"> Format (ODF)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CE7584" w:rsidRPr="00EF1594" w:rsidRDefault="00CE7584" w:rsidP="00CE7584">
      <w:pPr>
        <w:pStyle w:val="Default"/>
        <w:numPr>
          <w:ilvl w:val="0"/>
          <w:numId w:val="35"/>
        </w:numPr>
        <w:jc w:val="both"/>
        <w:rPr>
          <w:sz w:val="19"/>
          <w:szCs w:val="19"/>
        </w:rPr>
      </w:pPr>
      <w:r w:rsidRPr="00EF1594">
        <w:rPr>
          <w:sz w:val="19"/>
          <w:szCs w:val="19"/>
        </w:rPr>
        <w:t>Oprogramowanie musi umożliwiać tworzenie i edycję dokumentów elektronicznych w ustalonym formacie, który spełnia następujące warunki:</w:t>
      </w:r>
    </w:p>
    <w:p w:rsidR="00CE7584" w:rsidRPr="00EF1594" w:rsidRDefault="00CE7584" w:rsidP="00CE7584">
      <w:pPr>
        <w:pStyle w:val="Default"/>
        <w:numPr>
          <w:ilvl w:val="0"/>
          <w:numId w:val="49"/>
        </w:numPr>
        <w:jc w:val="both"/>
        <w:rPr>
          <w:sz w:val="19"/>
          <w:szCs w:val="19"/>
        </w:rPr>
      </w:pPr>
      <w:r w:rsidRPr="00EF1594">
        <w:rPr>
          <w:sz w:val="19"/>
          <w:szCs w:val="19"/>
        </w:rPr>
        <w:t>posiada kompletny i publicznie dostępny opis formatu;</w:t>
      </w:r>
    </w:p>
    <w:p w:rsidR="00CE7584" w:rsidRPr="00EF1594" w:rsidRDefault="00CE7584" w:rsidP="00CE7584">
      <w:pPr>
        <w:pStyle w:val="Default"/>
        <w:numPr>
          <w:ilvl w:val="0"/>
          <w:numId w:val="49"/>
        </w:numPr>
        <w:jc w:val="both"/>
        <w:rPr>
          <w:sz w:val="19"/>
          <w:szCs w:val="19"/>
        </w:rPr>
      </w:pPr>
      <w:r w:rsidRPr="00EF1594">
        <w:rPr>
          <w:sz w:val="19"/>
          <w:szCs w:val="19"/>
        </w:rPr>
        <w:t>ma zdefiniowany układ informacji w postaci XML zgodnie z Załącznikiem 2 Rozporządzenia Rady Ministrów z dnia 21 maja 2024 r. w sprawie Krajowych Ram Interoperacyjności, minimalnych wymagań dla rejestrów publicznych i wymiany informacji w postaci elektronicznej oraz minimalnych wymagań dla systemów teleinformatycznych (Dz.U. z 2024 r. poz. 773);</w:t>
      </w:r>
    </w:p>
    <w:p w:rsidR="00CE7584" w:rsidRPr="00EF1594" w:rsidRDefault="00CE7584" w:rsidP="00CE7584">
      <w:pPr>
        <w:pStyle w:val="Default"/>
        <w:numPr>
          <w:ilvl w:val="0"/>
          <w:numId w:val="49"/>
        </w:numPr>
        <w:jc w:val="both"/>
        <w:rPr>
          <w:sz w:val="19"/>
          <w:szCs w:val="19"/>
        </w:rPr>
      </w:pPr>
      <w:r w:rsidRPr="00EF1594">
        <w:rPr>
          <w:sz w:val="19"/>
          <w:szCs w:val="19"/>
        </w:rPr>
        <w:t>pozwala zapisywać dokumenty w formacie XML.</w:t>
      </w:r>
    </w:p>
    <w:p w:rsidR="00BA4869" w:rsidRPr="00EF1594" w:rsidRDefault="00BA4869" w:rsidP="003D2C7C">
      <w:pPr>
        <w:numPr>
          <w:ilvl w:val="0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EF1594">
        <w:rPr>
          <w:rFonts w:ascii="Fira Sans" w:eastAsiaTheme="minorHAnsi" w:hAnsi="Fira Sans"/>
          <w:bCs/>
          <w:sz w:val="19"/>
          <w:szCs w:val="19"/>
          <w:lang w:eastAsia="en-US"/>
        </w:rPr>
        <w:t>Środowisko Użytkownika:</w:t>
      </w:r>
    </w:p>
    <w:p w:rsidR="00BA4869" w:rsidRP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EF1594">
        <w:rPr>
          <w:rFonts w:ascii="Fira Sans" w:eastAsiaTheme="minorHAnsi" w:hAnsi="Fira Sans"/>
          <w:sz w:val="19"/>
          <w:szCs w:val="19"/>
          <w:lang w:eastAsia="en-US"/>
        </w:rPr>
        <w:t xml:space="preserve">Możliwość </w:t>
      </w:r>
      <w:r w:rsidRPr="00EF1594">
        <w:rPr>
          <w:rFonts w:ascii="Fira Sans" w:eastAsiaTheme="minorHAnsi" w:hAnsi="Fira Sans"/>
          <w:bCs/>
          <w:sz w:val="19"/>
          <w:szCs w:val="19"/>
          <w:lang w:eastAsia="en-US"/>
        </w:rPr>
        <w:t>instalacji na komputerach bez stałego połączenia z Internetem</w:t>
      </w:r>
      <w:r w:rsidRPr="00EF1594">
        <w:rPr>
          <w:rFonts w:ascii="Fira Sans" w:eastAsiaTheme="minorHAnsi" w:hAnsi="Fira Sans"/>
          <w:sz w:val="19"/>
          <w:szCs w:val="19"/>
          <w:lang w:eastAsia="en-US"/>
        </w:rPr>
        <w:t xml:space="preserve"> (po wstępnej aktywacji, jeśli jest wymagana) i </w:t>
      </w:r>
      <w:r w:rsidRPr="00EF1594">
        <w:rPr>
          <w:rFonts w:ascii="Fira Sans" w:eastAsiaTheme="minorHAnsi" w:hAnsi="Fira Sans"/>
          <w:bCs/>
          <w:sz w:val="19"/>
          <w:szCs w:val="19"/>
          <w:lang w:eastAsia="en-US"/>
        </w:rPr>
        <w:t>bez konieczności zakładania konta online</w:t>
      </w:r>
      <w:r w:rsidRPr="00EF1594">
        <w:rPr>
          <w:rFonts w:ascii="Fira Sans" w:eastAsiaTheme="minorHAnsi" w:hAnsi="Fira Sans"/>
          <w:sz w:val="19"/>
          <w:szCs w:val="19"/>
          <w:lang w:eastAsia="en-US"/>
        </w:rPr>
        <w:t xml:space="preserve"> do codziennego użytkowania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numPr>
          <w:ilvl w:val="1"/>
          <w:numId w:val="35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Obsługa w systemach operacyjnych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Windows 10 i Windows 11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b/>
          <w:bCs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/>
          <w:bCs/>
          <w:sz w:val="19"/>
          <w:szCs w:val="19"/>
          <w:lang w:eastAsia="en-US"/>
        </w:rPr>
        <w:t>Wymagania licencyjne i prawne</w:t>
      </w:r>
    </w:p>
    <w:p w:rsidR="00BA4869" w:rsidRPr="00BA4869" w:rsidRDefault="00BA4869" w:rsidP="003D2C7C">
      <w:pPr>
        <w:numPr>
          <w:ilvl w:val="0"/>
          <w:numId w:val="3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Rodzaj Licencji: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licencja bezterminowa (wieczysta)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na stanowisko lub użytkownika, nie oparta na modelu chmury (SaaS) ani subskrypcji.</w:t>
      </w:r>
    </w:p>
    <w:p w:rsidR="00BA4869" w:rsidRPr="00BA4869" w:rsidRDefault="00BA4869" w:rsidP="003D2C7C">
      <w:pPr>
        <w:numPr>
          <w:ilvl w:val="0"/>
          <w:numId w:val="3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Pochodzenie: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licencje muszą być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fabrycznie nowe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i pochodzić z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autoryzowanych kanałów dystrybucji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producenta.</w:t>
      </w:r>
    </w:p>
    <w:p w:rsidR="00BA4869" w:rsidRPr="00BA4869" w:rsidRDefault="00BA4869" w:rsidP="003D2C7C">
      <w:pPr>
        <w:numPr>
          <w:ilvl w:val="0"/>
          <w:numId w:val="3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Zgodność: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spełniać wszystkie wymogi prawne i standardy w zakresie licencji, w tym dla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użytku komercyjnego/instytucjonalnego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>.</w:t>
      </w:r>
    </w:p>
    <w:p w:rsidR="00BA4869" w:rsidRPr="00BA4869" w:rsidRDefault="00BA4869" w:rsidP="003D2C7C">
      <w:pPr>
        <w:numPr>
          <w:ilvl w:val="0"/>
          <w:numId w:val="3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Zarządzanie: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musi umożliwiać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centralne zarządzanie kluczami i instalacjami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dla dużych organizacji (np. poprzez narzędzie równoważne do KMS lub MAK).</w:t>
      </w:r>
    </w:p>
    <w:p w:rsidR="00BA4869" w:rsidRPr="00BA4869" w:rsidRDefault="00BA4869" w:rsidP="003D2C7C">
      <w:pPr>
        <w:numPr>
          <w:ilvl w:val="0"/>
          <w:numId w:val="36"/>
        </w:num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Przenoszalność: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licencja musi zapewniać możliwość </w:t>
      </w:r>
      <w:r w:rsidRPr="00BA4869">
        <w:rPr>
          <w:rFonts w:ascii="Fira Sans" w:eastAsiaTheme="minorHAnsi" w:hAnsi="Fira Sans"/>
          <w:bCs/>
          <w:sz w:val="19"/>
          <w:szCs w:val="19"/>
          <w:lang w:eastAsia="en-US"/>
        </w:rPr>
        <w:t>przeniesienia</w:t>
      </w:r>
      <w:r w:rsidRPr="00BA4869">
        <w:rPr>
          <w:rFonts w:ascii="Fira Sans" w:eastAsiaTheme="minorHAnsi" w:hAnsi="Fira Sans"/>
          <w:sz w:val="19"/>
          <w:szCs w:val="19"/>
          <w:lang w:eastAsia="en-US"/>
        </w:rPr>
        <w:t xml:space="preserve"> jej na inny sprzęt w przypadku wymiany lub uszkodzenia komputera, na którym była pierwotnie zainstalowana.</w:t>
      </w: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Theme="minorHAnsi" w:hAnsi="Fira Sans"/>
          <w:sz w:val="19"/>
          <w:szCs w:val="19"/>
          <w:lang w:eastAsia="en-US"/>
        </w:rPr>
      </w:pPr>
    </w:p>
    <w:p w:rsidR="00BA4869" w:rsidRPr="00BA4869" w:rsidRDefault="00BA4869" w:rsidP="003D2C7C">
      <w:pPr>
        <w:spacing w:after="0" w:line="240" w:lineRule="auto"/>
        <w:jc w:val="both"/>
        <w:rPr>
          <w:rFonts w:ascii="Fira Sans" w:eastAsia="Times New Roman" w:hAnsi="Fira Sans" w:cs="Times New Roman"/>
          <w:sz w:val="24"/>
          <w:szCs w:val="24"/>
        </w:rPr>
      </w:pPr>
      <w:r w:rsidRPr="00BA4869">
        <w:rPr>
          <w:rFonts w:ascii="Fira Sans" w:eastAsiaTheme="minorHAnsi" w:hAnsi="Fira Sans" w:cs="Cambria Math"/>
          <w:bCs/>
          <w:sz w:val="19"/>
          <w:szCs w:val="19"/>
          <w:lang w:eastAsia="en-US"/>
        </w:rPr>
        <w:t xml:space="preserve">Obowiązek </w:t>
      </w:r>
      <w:r w:rsidR="00136B4A">
        <w:rPr>
          <w:rFonts w:ascii="Fira Sans" w:eastAsiaTheme="minorHAnsi" w:hAnsi="Fira Sans" w:cs="Cambria Math"/>
          <w:bCs/>
          <w:sz w:val="19"/>
          <w:szCs w:val="19"/>
          <w:lang w:eastAsia="en-US"/>
        </w:rPr>
        <w:t>wykon</w:t>
      </w:r>
      <w:r w:rsidRPr="00BA4869">
        <w:rPr>
          <w:rFonts w:ascii="Fira Sans" w:eastAsiaTheme="minorHAnsi" w:hAnsi="Fira Sans" w:cs="Cambria Math"/>
          <w:bCs/>
          <w:sz w:val="19"/>
          <w:szCs w:val="19"/>
          <w:lang w:eastAsia="en-US"/>
        </w:rPr>
        <w:t>awcy: Wykonawca, oferujący oprogramowanie równoważne, jest zobowiązany do złożenia szczegółowej dokumentacji (karty katalogowe, oświadczenia producenta) lub tabeli porównawczej, która w sposób niebudzący wątpliwości potwierdzi spełnienie wszystkich minimalnych wymagań funkcjonalnych, technicznych i licencyjnych określonych powyżej.</w:t>
      </w:r>
    </w:p>
    <w:p w:rsidR="00BA4869" w:rsidRPr="00BA4869" w:rsidRDefault="00BA4869" w:rsidP="00BA48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01F5" w:rsidRPr="006101F5" w:rsidRDefault="006101F5" w:rsidP="006101F5">
      <w:pPr>
        <w:spacing w:after="0" w:line="240" w:lineRule="auto"/>
        <w:rPr>
          <w:rFonts w:ascii="Fira Sans" w:eastAsia="Times New Roman" w:hAnsi="Fira Sans" w:cs="Times New Roman"/>
          <w:sz w:val="19"/>
          <w:szCs w:val="19"/>
        </w:rPr>
      </w:pPr>
      <w:r w:rsidRPr="006101F5">
        <w:rPr>
          <w:rFonts w:ascii="Fira Sans" w:eastAsia="Times New Roman" w:hAnsi="Fira Sans" w:cs="Times New Roman"/>
          <w:sz w:val="19"/>
          <w:szCs w:val="19"/>
        </w:rPr>
        <w:t>Zamawiający informuję, że Ministerstwo Cyfryzacji jest stroną umowy Business and Services nr U9100053 (MBSA) oraz umowy Microsoft Product and Services Agreement nr 4100013999 (MPSA). Organizacjom z sektora publicznego (takim jak np. instytucje rządowe czy samorządowe) umożliwia to staranie się, przy okazji postępowań z zakresu zamówień publicznych, o uzyskanie lepszych cen przy zakupie produktów i usług oferowanych przez Microsoft. Aby skorzystać z tej możliwości w toku realizacji postępowań należy powołać się na numery powyższych umów.</w:t>
      </w:r>
    </w:p>
    <w:p w:rsidR="006101F5" w:rsidRPr="006101F5" w:rsidRDefault="006101F5" w:rsidP="006101F5">
      <w:pPr>
        <w:spacing w:after="0" w:line="240" w:lineRule="auto"/>
        <w:rPr>
          <w:rFonts w:ascii="Fira Sans" w:eastAsia="Times New Roman" w:hAnsi="Fira Sans" w:cs="Times New Roman"/>
          <w:sz w:val="19"/>
          <w:szCs w:val="19"/>
        </w:rPr>
      </w:pPr>
      <w:r w:rsidRPr="006101F5">
        <w:rPr>
          <w:rFonts w:ascii="Fira Sans" w:eastAsia="Times New Roman" w:hAnsi="Fira Sans" w:cs="Times New Roman"/>
          <w:sz w:val="19"/>
          <w:szCs w:val="19"/>
        </w:rPr>
        <w:t xml:space="preserve">Link do komunikatu oraz umowy: </w:t>
      </w:r>
    </w:p>
    <w:p w:rsidR="006101F5" w:rsidRDefault="00EE2EEF" w:rsidP="006101F5">
      <w:pPr>
        <w:spacing w:after="0" w:line="240" w:lineRule="auto"/>
        <w:rPr>
          <w:rFonts w:ascii="Fira Sans" w:eastAsia="Times New Roman" w:hAnsi="Fira Sans" w:cs="Times New Roman"/>
          <w:sz w:val="19"/>
          <w:szCs w:val="19"/>
        </w:rPr>
      </w:pPr>
      <w:hyperlink r:id="rId14" w:history="1">
        <w:r w:rsidR="006101F5" w:rsidRPr="006101F5">
          <w:rPr>
            <w:rStyle w:val="Hipercze"/>
            <w:rFonts w:ascii="Fira Sans" w:eastAsia="Times New Roman" w:hAnsi="Fira Sans" w:cs="Times New Roman"/>
            <w:sz w:val="19"/>
            <w:szCs w:val="19"/>
          </w:rPr>
          <w:t>https://www.gov.pl/web/cyfryzacja/komunikat-dotyczacy-umowy-z-microsoft</w:t>
        </w:r>
      </w:hyperlink>
    </w:p>
    <w:p w:rsidR="00BA4869" w:rsidRPr="00BA4869" w:rsidRDefault="00BA4869" w:rsidP="00BA48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BA4869" w:rsidRPr="00BA4869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2EEF" w:rsidRDefault="00EE2EEF" w:rsidP="0038314D">
      <w:pPr>
        <w:spacing w:after="0" w:line="240" w:lineRule="auto"/>
      </w:pPr>
      <w:r>
        <w:separator/>
      </w:r>
    </w:p>
  </w:endnote>
  <w:endnote w:type="continuationSeparator" w:id="0">
    <w:p w:rsidR="00EE2EEF" w:rsidRDefault="00EE2EEF" w:rsidP="00383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9182358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:rsidR="005E2A00" w:rsidRPr="00900EC7" w:rsidRDefault="005E2A00">
        <w:pPr>
          <w:pStyle w:val="Stopka"/>
          <w:jc w:val="right"/>
          <w:rPr>
            <w:rFonts w:ascii="Fira Sans" w:hAnsi="Fira Sans"/>
            <w:sz w:val="19"/>
            <w:szCs w:val="19"/>
          </w:rPr>
        </w:pPr>
        <w:r w:rsidRPr="00900EC7">
          <w:rPr>
            <w:rFonts w:ascii="Fira Sans" w:hAnsi="Fira Sans"/>
            <w:sz w:val="19"/>
            <w:szCs w:val="19"/>
          </w:rPr>
          <w:fldChar w:fldCharType="begin"/>
        </w:r>
        <w:r w:rsidRPr="00900EC7">
          <w:rPr>
            <w:rFonts w:ascii="Fira Sans" w:hAnsi="Fira Sans"/>
            <w:sz w:val="19"/>
            <w:szCs w:val="19"/>
          </w:rPr>
          <w:instrText>PAGE   \* MERGEFORMAT</w:instrText>
        </w:r>
        <w:r w:rsidRPr="00900EC7">
          <w:rPr>
            <w:rFonts w:ascii="Fira Sans" w:hAnsi="Fira Sans"/>
            <w:sz w:val="19"/>
            <w:szCs w:val="19"/>
          </w:rPr>
          <w:fldChar w:fldCharType="separate"/>
        </w:r>
        <w:r w:rsidR="00655253">
          <w:rPr>
            <w:rFonts w:ascii="Fira Sans" w:hAnsi="Fira Sans"/>
            <w:noProof/>
            <w:sz w:val="19"/>
            <w:szCs w:val="19"/>
          </w:rPr>
          <w:t>23</w:t>
        </w:r>
        <w:r w:rsidRPr="00900EC7">
          <w:rPr>
            <w:rFonts w:ascii="Fira Sans" w:hAnsi="Fira Sans"/>
            <w:sz w:val="19"/>
            <w:szCs w:val="19"/>
          </w:rPr>
          <w:fldChar w:fldCharType="end"/>
        </w:r>
      </w:p>
    </w:sdtContent>
  </w:sdt>
  <w:p w:rsidR="005E2A00" w:rsidRDefault="005E2A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2EEF" w:rsidRDefault="00EE2EEF" w:rsidP="0038314D">
      <w:pPr>
        <w:spacing w:after="0" w:line="240" w:lineRule="auto"/>
      </w:pPr>
      <w:r>
        <w:separator/>
      </w:r>
    </w:p>
  </w:footnote>
  <w:footnote w:type="continuationSeparator" w:id="0">
    <w:p w:rsidR="00EE2EEF" w:rsidRDefault="00EE2EEF" w:rsidP="00383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A00" w:rsidRDefault="005E2A00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543560</wp:posOffset>
          </wp:positionH>
          <wp:positionV relativeFrom="page">
            <wp:posOffset>304165</wp:posOffset>
          </wp:positionV>
          <wp:extent cx="1479550" cy="503555"/>
          <wp:effectExtent l="0" t="0" r="635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9550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C1696"/>
    <w:multiLevelType w:val="hybridMultilevel"/>
    <w:tmpl w:val="99B08920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302BF"/>
    <w:multiLevelType w:val="multilevel"/>
    <w:tmpl w:val="EAD6B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86EB1"/>
    <w:multiLevelType w:val="multilevel"/>
    <w:tmpl w:val="762E6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7124C3"/>
    <w:multiLevelType w:val="multilevel"/>
    <w:tmpl w:val="2F66E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56E6B"/>
    <w:multiLevelType w:val="hybridMultilevel"/>
    <w:tmpl w:val="79D685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77600CBE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8B5EF2"/>
    <w:multiLevelType w:val="hybridMultilevel"/>
    <w:tmpl w:val="674A0D88"/>
    <w:lvl w:ilvl="0" w:tplc="6958B9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A11EB1"/>
    <w:multiLevelType w:val="multilevel"/>
    <w:tmpl w:val="2F7AD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3865DF"/>
    <w:multiLevelType w:val="hybridMultilevel"/>
    <w:tmpl w:val="1CFEABF2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A6DED"/>
    <w:multiLevelType w:val="multilevel"/>
    <w:tmpl w:val="C026F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9C3DA1"/>
    <w:multiLevelType w:val="hybridMultilevel"/>
    <w:tmpl w:val="279CEF90"/>
    <w:lvl w:ilvl="0" w:tplc="6958B90C">
      <w:start w:val="1"/>
      <w:numFmt w:val="bullet"/>
      <w:lvlText w:val=""/>
      <w:lvlJc w:val="left"/>
      <w:pPr>
        <w:ind w:left="14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34" w:hanging="360"/>
      </w:pPr>
      <w:rPr>
        <w:rFonts w:ascii="Wingdings" w:hAnsi="Wingdings" w:hint="default"/>
      </w:rPr>
    </w:lvl>
  </w:abstractNum>
  <w:abstractNum w:abstractNumId="10" w15:restartNumberingAfterBreak="0">
    <w:nsid w:val="231E5FB4"/>
    <w:multiLevelType w:val="multilevel"/>
    <w:tmpl w:val="90F80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F31279"/>
    <w:multiLevelType w:val="hybridMultilevel"/>
    <w:tmpl w:val="0E008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246C84"/>
    <w:multiLevelType w:val="hybridMultilevel"/>
    <w:tmpl w:val="EB0E132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69C66A7"/>
    <w:multiLevelType w:val="multilevel"/>
    <w:tmpl w:val="A17CA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077298"/>
    <w:multiLevelType w:val="hybridMultilevel"/>
    <w:tmpl w:val="E6B8DEC6"/>
    <w:lvl w:ilvl="0" w:tplc="6958B9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0D1A16"/>
    <w:multiLevelType w:val="hybridMultilevel"/>
    <w:tmpl w:val="1CFEABF2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8373E9"/>
    <w:multiLevelType w:val="hybridMultilevel"/>
    <w:tmpl w:val="F3FCCED6"/>
    <w:lvl w:ilvl="0" w:tplc="6958B9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E452EDE"/>
    <w:multiLevelType w:val="singleLevel"/>
    <w:tmpl w:val="293C69B4"/>
    <w:lvl w:ilvl="0">
      <w:start w:val="1"/>
      <w:numFmt w:val="bullet"/>
      <w:pStyle w:val="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0"/>
      </w:rPr>
    </w:lvl>
  </w:abstractNum>
  <w:abstractNum w:abstractNumId="18" w15:restartNumberingAfterBreak="0">
    <w:nsid w:val="40C343DC"/>
    <w:multiLevelType w:val="multilevel"/>
    <w:tmpl w:val="16562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146A54"/>
    <w:multiLevelType w:val="hybridMultilevel"/>
    <w:tmpl w:val="1CFEABF2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5B7B86"/>
    <w:multiLevelType w:val="multilevel"/>
    <w:tmpl w:val="4830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3271FB"/>
    <w:multiLevelType w:val="hybridMultilevel"/>
    <w:tmpl w:val="DB4206AA"/>
    <w:lvl w:ilvl="0" w:tplc="6958B9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8DB4170"/>
    <w:multiLevelType w:val="hybridMultilevel"/>
    <w:tmpl w:val="6FC8B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05002D"/>
    <w:multiLevelType w:val="multilevel"/>
    <w:tmpl w:val="DA4A0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CC5500"/>
    <w:multiLevelType w:val="hybridMultilevel"/>
    <w:tmpl w:val="5E927904"/>
    <w:lvl w:ilvl="0" w:tplc="6958B9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A462155"/>
    <w:multiLevelType w:val="multilevel"/>
    <w:tmpl w:val="E24C1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1F2613"/>
    <w:multiLevelType w:val="hybridMultilevel"/>
    <w:tmpl w:val="D9E4B2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950AFE"/>
    <w:multiLevelType w:val="hybridMultilevel"/>
    <w:tmpl w:val="1CFEABF2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64205C"/>
    <w:multiLevelType w:val="hybridMultilevel"/>
    <w:tmpl w:val="1CFEABF2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B83D05"/>
    <w:multiLevelType w:val="hybridMultilevel"/>
    <w:tmpl w:val="1CFEABF2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1100F0"/>
    <w:multiLevelType w:val="multilevel"/>
    <w:tmpl w:val="590A3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FE2A12"/>
    <w:multiLevelType w:val="hybridMultilevel"/>
    <w:tmpl w:val="D2C69DA0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757FFD"/>
    <w:multiLevelType w:val="multilevel"/>
    <w:tmpl w:val="D22E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01724CC"/>
    <w:multiLevelType w:val="multilevel"/>
    <w:tmpl w:val="AF3E6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E0484A"/>
    <w:multiLevelType w:val="multilevel"/>
    <w:tmpl w:val="1DD85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13915E8"/>
    <w:multiLevelType w:val="hybridMultilevel"/>
    <w:tmpl w:val="2D86C414"/>
    <w:lvl w:ilvl="0" w:tplc="6958B9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74B6DAD"/>
    <w:multiLevelType w:val="multilevel"/>
    <w:tmpl w:val="B9BE3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C2561C"/>
    <w:multiLevelType w:val="multilevel"/>
    <w:tmpl w:val="1C24F2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68850108"/>
    <w:multiLevelType w:val="hybridMultilevel"/>
    <w:tmpl w:val="D2C69DA0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E5606D"/>
    <w:multiLevelType w:val="hybridMultilevel"/>
    <w:tmpl w:val="09D0BC0A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A4239DA"/>
    <w:multiLevelType w:val="hybridMultilevel"/>
    <w:tmpl w:val="61243128"/>
    <w:lvl w:ilvl="0" w:tplc="6958B9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AD7099E"/>
    <w:multiLevelType w:val="multilevel"/>
    <w:tmpl w:val="55D2C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C1B09DB"/>
    <w:multiLevelType w:val="hybridMultilevel"/>
    <w:tmpl w:val="9AEA7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667BF9"/>
    <w:multiLevelType w:val="multilevel"/>
    <w:tmpl w:val="85C66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3E31404"/>
    <w:multiLevelType w:val="hybridMultilevel"/>
    <w:tmpl w:val="06006D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DA2824"/>
    <w:multiLevelType w:val="hybridMultilevel"/>
    <w:tmpl w:val="60C27A6C"/>
    <w:lvl w:ilvl="0" w:tplc="60B462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13280F"/>
    <w:multiLevelType w:val="hybridMultilevel"/>
    <w:tmpl w:val="D2C69DA0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213E52"/>
    <w:multiLevelType w:val="hybridMultilevel"/>
    <w:tmpl w:val="23DAB2CA"/>
    <w:lvl w:ilvl="0" w:tplc="FFFFFFFF">
      <w:start w:val="1"/>
      <w:numFmt w:val="lowerLetter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8" w15:restartNumberingAfterBreak="0">
    <w:nsid w:val="7D3247BF"/>
    <w:multiLevelType w:val="hybridMultilevel"/>
    <w:tmpl w:val="1CFEABF2"/>
    <w:lvl w:ilvl="0" w:tplc="E314FEF4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47"/>
  </w:num>
  <w:num w:numId="4">
    <w:abstractNumId w:val="26"/>
  </w:num>
  <w:num w:numId="5">
    <w:abstractNumId w:val="45"/>
  </w:num>
  <w:num w:numId="6">
    <w:abstractNumId w:val="27"/>
  </w:num>
  <w:num w:numId="7">
    <w:abstractNumId w:val="0"/>
  </w:num>
  <w:num w:numId="8">
    <w:abstractNumId w:val="29"/>
  </w:num>
  <w:num w:numId="9">
    <w:abstractNumId w:val="48"/>
  </w:num>
  <w:num w:numId="10">
    <w:abstractNumId w:val="7"/>
  </w:num>
  <w:num w:numId="11">
    <w:abstractNumId w:val="44"/>
  </w:num>
  <w:num w:numId="12">
    <w:abstractNumId w:val="19"/>
  </w:num>
  <w:num w:numId="13">
    <w:abstractNumId w:val="28"/>
  </w:num>
  <w:num w:numId="14">
    <w:abstractNumId w:val="31"/>
  </w:num>
  <w:num w:numId="15">
    <w:abstractNumId w:val="15"/>
  </w:num>
  <w:num w:numId="16">
    <w:abstractNumId w:val="38"/>
  </w:num>
  <w:num w:numId="17">
    <w:abstractNumId w:val="41"/>
  </w:num>
  <w:num w:numId="18">
    <w:abstractNumId w:val="34"/>
  </w:num>
  <w:num w:numId="19">
    <w:abstractNumId w:val="13"/>
  </w:num>
  <w:num w:numId="20">
    <w:abstractNumId w:val="8"/>
  </w:num>
  <w:num w:numId="21">
    <w:abstractNumId w:val="22"/>
  </w:num>
  <w:num w:numId="22">
    <w:abstractNumId w:val="2"/>
  </w:num>
  <w:num w:numId="23">
    <w:abstractNumId w:val="6"/>
  </w:num>
  <w:num w:numId="24">
    <w:abstractNumId w:val="36"/>
  </w:num>
  <w:num w:numId="25">
    <w:abstractNumId w:val="3"/>
  </w:num>
  <w:num w:numId="26">
    <w:abstractNumId w:val="32"/>
  </w:num>
  <w:num w:numId="27">
    <w:abstractNumId w:val="25"/>
  </w:num>
  <w:num w:numId="28">
    <w:abstractNumId w:val="10"/>
  </w:num>
  <w:num w:numId="29">
    <w:abstractNumId w:val="30"/>
  </w:num>
  <w:num w:numId="30">
    <w:abstractNumId w:val="46"/>
  </w:num>
  <w:num w:numId="31">
    <w:abstractNumId w:val="1"/>
  </w:num>
  <w:num w:numId="32">
    <w:abstractNumId w:val="33"/>
  </w:num>
  <w:num w:numId="33">
    <w:abstractNumId w:val="43"/>
  </w:num>
  <w:num w:numId="34">
    <w:abstractNumId w:val="23"/>
  </w:num>
  <w:num w:numId="35">
    <w:abstractNumId w:val="20"/>
  </w:num>
  <w:num w:numId="36">
    <w:abstractNumId w:val="18"/>
  </w:num>
  <w:num w:numId="37">
    <w:abstractNumId w:val="17"/>
  </w:num>
  <w:num w:numId="38">
    <w:abstractNumId w:val="37"/>
  </w:num>
  <w:num w:numId="39">
    <w:abstractNumId w:val="9"/>
  </w:num>
  <w:num w:numId="40">
    <w:abstractNumId w:val="42"/>
  </w:num>
  <w:num w:numId="41">
    <w:abstractNumId w:val="11"/>
  </w:num>
  <w:num w:numId="42">
    <w:abstractNumId w:val="24"/>
  </w:num>
  <w:num w:numId="43">
    <w:abstractNumId w:val="5"/>
  </w:num>
  <w:num w:numId="44">
    <w:abstractNumId w:val="16"/>
  </w:num>
  <w:num w:numId="45">
    <w:abstractNumId w:val="40"/>
  </w:num>
  <w:num w:numId="46">
    <w:abstractNumId w:val="35"/>
  </w:num>
  <w:num w:numId="47">
    <w:abstractNumId w:val="21"/>
  </w:num>
  <w:num w:numId="48">
    <w:abstractNumId w:val="14"/>
  </w:num>
  <w:num w:numId="49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6AB"/>
    <w:rsid w:val="00035A8A"/>
    <w:rsid w:val="00041DEC"/>
    <w:rsid w:val="00121E44"/>
    <w:rsid w:val="00136B4A"/>
    <w:rsid w:val="001647C5"/>
    <w:rsid w:val="001903D0"/>
    <w:rsid w:val="001A0734"/>
    <w:rsid w:val="001B6629"/>
    <w:rsid w:val="00201334"/>
    <w:rsid w:val="0023780D"/>
    <w:rsid w:val="002C033C"/>
    <w:rsid w:val="002C7113"/>
    <w:rsid w:val="002E5F2F"/>
    <w:rsid w:val="002E6531"/>
    <w:rsid w:val="00355AD5"/>
    <w:rsid w:val="003762F0"/>
    <w:rsid w:val="0038314D"/>
    <w:rsid w:val="003B7C41"/>
    <w:rsid w:val="003D2C7C"/>
    <w:rsid w:val="003D5B85"/>
    <w:rsid w:val="004D471E"/>
    <w:rsid w:val="00540753"/>
    <w:rsid w:val="00560C19"/>
    <w:rsid w:val="0057414C"/>
    <w:rsid w:val="0057622D"/>
    <w:rsid w:val="005E2A00"/>
    <w:rsid w:val="0060208A"/>
    <w:rsid w:val="00605C59"/>
    <w:rsid w:val="006101F5"/>
    <w:rsid w:val="0065490D"/>
    <w:rsid w:val="00655253"/>
    <w:rsid w:val="006A526B"/>
    <w:rsid w:val="00764A39"/>
    <w:rsid w:val="007828D2"/>
    <w:rsid w:val="007E48D9"/>
    <w:rsid w:val="007E678A"/>
    <w:rsid w:val="00800D8E"/>
    <w:rsid w:val="008041CA"/>
    <w:rsid w:val="00814731"/>
    <w:rsid w:val="00831823"/>
    <w:rsid w:val="008446AB"/>
    <w:rsid w:val="008A6F49"/>
    <w:rsid w:val="008F72FA"/>
    <w:rsid w:val="00900EC7"/>
    <w:rsid w:val="00954174"/>
    <w:rsid w:val="00974624"/>
    <w:rsid w:val="00992217"/>
    <w:rsid w:val="009B1F8B"/>
    <w:rsid w:val="009B3317"/>
    <w:rsid w:val="009F3138"/>
    <w:rsid w:val="00A03F3F"/>
    <w:rsid w:val="00A354B7"/>
    <w:rsid w:val="00A53C51"/>
    <w:rsid w:val="00A96986"/>
    <w:rsid w:val="00AC53E7"/>
    <w:rsid w:val="00B01FF2"/>
    <w:rsid w:val="00B051B0"/>
    <w:rsid w:val="00B23809"/>
    <w:rsid w:val="00B340CE"/>
    <w:rsid w:val="00B74993"/>
    <w:rsid w:val="00B76AC2"/>
    <w:rsid w:val="00B812C9"/>
    <w:rsid w:val="00BA47AC"/>
    <w:rsid w:val="00BA4869"/>
    <w:rsid w:val="00BB69BA"/>
    <w:rsid w:val="00BE06A5"/>
    <w:rsid w:val="00BE1EE5"/>
    <w:rsid w:val="00BF560D"/>
    <w:rsid w:val="00CA666D"/>
    <w:rsid w:val="00CB1AD9"/>
    <w:rsid w:val="00CB1BF0"/>
    <w:rsid w:val="00CE3F68"/>
    <w:rsid w:val="00CE7584"/>
    <w:rsid w:val="00D16BE5"/>
    <w:rsid w:val="00D332AD"/>
    <w:rsid w:val="00D344E0"/>
    <w:rsid w:val="00D47E49"/>
    <w:rsid w:val="00D63DE5"/>
    <w:rsid w:val="00DC5D96"/>
    <w:rsid w:val="00E06561"/>
    <w:rsid w:val="00E16A4B"/>
    <w:rsid w:val="00E40548"/>
    <w:rsid w:val="00E53B76"/>
    <w:rsid w:val="00EA3B60"/>
    <w:rsid w:val="00EB67E8"/>
    <w:rsid w:val="00EE2EEF"/>
    <w:rsid w:val="00EF1594"/>
    <w:rsid w:val="00F15395"/>
    <w:rsid w:val="00F42C8D"/>
    <w:rsid w:val="00F438D7"/>
    <w:rsid w:val="00FB3BED"/>
    <w:rsid w:val="00FC1DFD"/>
    <w:rsid w:val="00FC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A04E75"/>
  <w15:chartTrackingRefBased/>
  <w15:docId w15:val="{383A4654-701A-4383-8BA3-09811A367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D5B85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BulletC,Wyliczanie,Obiekt,normalny tekst,Akapit z listą31,Bullets,List Paragraph1,lp1,Preambuła,Akapit z nr,Akapit z listą BS,Kolorowa lista — akcent 11,CW_Lista,Dot pt,F5 List Paragraph,Recommendation,List Paragraph11,lp11"/>
    <w:basedOn w:val="Normalny"/>
    <w:link w:val="AkapitzlistZnak"/>
    <w:uiPriority w:val="99"/>
    <w:qFormat/>
    <w:rsid w:val="008446AB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F42C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1">
    <w:name w:val="Bez listy1"/>
    <w:next w:val="Bezlisty"/>
    <w:uiPriority w:val="99"/>
    <w:semiHidden/>
    <w:unhideWhenUsed/>
    <w:rsid w:val="00BA4869"/>
  </w:style>
  <w:style w:type="paragraph" w:styleId="Nagwek">
    <w:name w:val="header"/>
    <w:basedOn w:val="Normalny"/>
    <w:link w:val="NagwekZnak"/>
    <w:uiPriority w:val="99"/>
    <w:unhideWhenUsed/>
    <w:rsid w:val="00383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314D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83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14D"/>
    <w:rPr>
      <w:rFonts w:eastAsiaTheme="minorEastAsia"/>
      <w:lang w:eastAsia="pl-PL"/>
    </w:rPr>
  </w:style>
  <w:style w:type="paragraph" w:customStyle="1" w:styleId="Bullet2">
    <w:name w:val="Bullet 2"/>
    <w:basedOn w:val="Normalny"/>
    <w:rsid w:val="00035A8A"/>
    <w:pPr>
      <w:numPr>
        <w:numId w:val="37"/>
      </w:numPr>
      <w:spacing w:before="20" w:after="60" w:line="252" w:lineRule="auto"/>
      <w:jc w:val="both"/>
    </w:pPr>
    <w:rPr>
      <w:rFonts w:ascii="Calibri" w:eastAsia="Times New Roman" w:hAnsi="Calibri" w:cs="Times New Roman"/>
      <w:szCs w:val="20"/>
      <w:lang w:eastAsia="en-US"/>
    </w:rPr>
  </w:style>
  <w:style w:type="character" w:customStyle="1" w:styleId="AkapitzlistZnak">
    <w:name w:val="Akapit z listą Znak"/>
    <w:aliases w:val="L1 Znak,Numerowanie Znak,BulletC Znak,Wyliczanie Znak,Obiekt Znak,normalny tekst Znak,Akapit z listą31 Znak,Bullets Znak,List Paragraph1 Znak,lp1 Znak,Preambuła Znak,Akapit z nr Znak,Akapit z listą BS Znak,CW_Lista Znak,Dot pt Znak"/>
    <w:link w:val="Akapitzlist"/>
    <w:uiPriority w:val="99"/>
    <w:qFormat/>
    <w:rsid w:val="00035A8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0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0EC7"/>
    <w:rPr>
      <w:rFonts w:ascii="Segoe UI" w:eastAsiaTheme="minorEastAsia" w:hAnsi="Segoe UI" w:cs="Segoe UI"/>
      <w:sz w:val="18"/>
      <w:szCs w:val="18"/>
      <w:lang w:eastAsia="pl-PL"/>
    </w:rPr>
  </w:style>
  <w:style w:type="paragraph" w:customStyle="1" w:styleId="Default">
    <w:name w:val="Default"/>
    <w:rsid w:val="00D344E0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6BE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6BE5"/>
    <w:rPr>
      <w:rFonts w:eastAsiaTheme="minorEastAsia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6BE5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6101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ubenchmark.net" TargetMode="External"/><Relationship Id="rId13" Type="http://schemas.openxmlformats.org/officeDocument/2006/relationships/hyperlink" Target="http://www.cpubenchmark.ne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pubenchmark.net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pubenchmark.net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cpubenchmark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pubenchmark.net" TargetMode="External"/><Relationship Id="rId14" Type="http://schemas.openxmlformats.org/officeDocument/2006/relationships/hyperlink" Target="https://www.gov.pl/web/cyfryzacja/komunikat-dotyczacy-umowy-z-microsof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C4485-D312-4CFA-86D9-628F0CB6B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8518</Words>
  <Characters>51113</Characters>
  <Application>Microsoft Office Word</Application>
  <DocSecurity>0</DocSecurity>
  <Lines>425</Lines>
  <Paragraphs>119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Główny Urząd Statystyczny</Company>
  <LinksUpToDate>false</LinksUpToDate>
  <CharactersWithSpaces>59512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 Łukasz Kazimierz</dc:creator>
  <cp:keywords/>
  <dc:description/>
  <cp:lastModifiedBy>Piech Dorota</cp:lastModifiedBy>
  <cp:revision>3</cp:revision>
  <cp:lastPrinted>2025-11-20T12:42:00Z</cp:lastPrinted>
  <dcterms:created xsi:type="dcterms:W3CDTF">2025-11-21T10:50:00Z</dcterms:created>
  <dcterms:modified xsi:type="dcterms:W3CDTF">2025-11-21T10:53:00Z</dcterms:modified>
</cp:coreProperties>
</file>