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5795"/>
        <w:gridCol w:w="2741"/>
        <w:gridCol w:w="566"/>
      </w:tblGrid>
      <w:tr w:rsidR="00FF2341" w:rsidRPr="0055329C" w:rsidTr="00DB5202">
        <w:trPr>
          <w:cantSplit/>
          <w:jc w:val="center"/>
        </w:trPr>
        <w:tc>
          <w:tcPr>
            <w:tcW w:w="537" w:type="dxa"/>
            <w:tcBorders>
              <w:bottom w:val="nil"/>
              <w:right w:val="nil"/>
            </w:tcBorders>
            <w:shd w:val="pct20" w:color="000000" w:fill="FFFFFF"/>
          </w:tcPr>
          <w:p w:rsidR="00FF2341" w:rsidRPr="001A4D8C" w:rsidRDefault="00FF2341" w:rsidP="00DB5202">
            <w:pPr>
              <w:pStyle w:val="Tekstkomentarza"/>
              <w:widowControl/>
              <w:rPr>
                <w:rFonts w:ascii="Times New Roman" w:hAnsi="Times New Roman" w:cs="Times New Roman"/>
              </w:rPr>
            </w:pPr>
          </w:p>
        </w:tc>
        <w:tc>
          <w:tcPr>
            <w:tcW w:w="5795" w:type="dxa"/>
            <w:tcBorders>
              <w:left w:val="nil"/>
              <w:right w:val="nil"/>
            </w:tcBorders>
            <w:shd w:val="pct20" w:color="000000" w:fill="FFFFFF"/>
          </w:tcPr>
          <w:p w:rsidR="00FF2341" w:rsidRPr="001A4D8C" w:rsidRDefault="00FF2341" w:rsidP="00DB5202">
            <w:pPr>
              <w:rPr>
                <w:b/>
              </w:rPr>
            </w:pPr>
          </w:p>
          <w:p w:rsidR="00FF2341" w:rsidRPr="001A4D8C" w:rsidRDefault="00FF2341" w:rsidP="00DB5202">
            <w:pPr>
              <w:rPr>
                <w:b/>
              </w:rPr>
            </w:pPr>
          </w:p>
          <w:p w:rsidR="00FF2341" w:rsidRPr="001A4D8C" w:rsidRDefault="00FF2341" w:rsidP="00DB5202">
            <w:pPr>
              <w:rPr>
                <w:b/>
              </w:rPr>
            </w:pPr>
          </w:p>
        </w:tc>
        <w:tc>
          <w:tcPr>
            <w:tcW w:w="2741" w:type="dxa"/>
            <w:tcBorders>
              <w:left w:val="nil"/>
              <w:right w:val="nil"/>
            </w:tcBorders>
            <w:shd w:val="pct20" w:color="000000" w:fill="FFFFFF"/>
          </w:tcPr>
          <w:p w:rsidR="00FF2341" w:rsidRPr="001A4D8C" w:rsidRDefault="00FF2341" w:rsidP="00DB5202"/>
        </w:tc>
        <w:tc>
          <w:tcPr>
            <w:tcW w:w="566" w:type="dxa"/>
            <w:tcBorders>
              <w:left w:val="nil"/>
              <w:bottom w:val="nil"/>
            </w:tcBorders>
            <w:shd w:val="pct20" w:color="000000" w:fill="FFFFFF"/>
          </w:tcPr>
          <w:p w:rsidR="00FF2341" w:rsidRPr="001A4D8C" w:rsidRDefault="00FF2341" w:rsidP="00DB5202"/>
        </w:tc>
      </w:tr>
      <w:tr w:rsidR="00FF2341" w:rsidRPr="0055329C" w:rsidTr="00DB5202">
        <w:trPr>
          <w:cantSplit/>
          <w:trHeight w:val="616"/>
          <w:jc w:val="center"/>
        </w:trPr>
        <w:tc>
          <w:tcPr>
            <w:tcW w:w="537" w:type="dxa"/>
            <w:tcBorders>
              <w:top w:val="nil"/>
              <w:bottom w:val="nil"/>
            </w:tcBorders>
            <w:shd w:val="pct20" w:color="000000" w:fill="FFFFFF"/>
          </w:tcPr>
          <w:p w:rsidR="00FF2341" w:rsidRPr="001A4D8C" w:rsidRDefault="00FF2341" w:rsidP="00DB5202"/>
        </w:tc>
        <w:tc>
          <w:tcPr>
            <w:tcW w:w="5795" w:type="dxa"/>
            <w:tcBorders>
              <w:top w:val="nil"/>
              <w:bottom w:val="nil"/>
              <w:right w:val="nil"/>
            </w:tcBorders>
          </w:tcPr>
          <w:p w:rsidR="00FF2341" w:rsidRPr="001A4D8C" w:rsidRDefault="00FF2341" w:rsidP="00DB5202">
            <w:pPr>
              <w:rPr>
                <w:sz w:val="6"/>
                <w:szCs w:val="6"/>
              </w:rPr>
            </w:pPr>
          </w:p>
          <w:p w:rsidR="00FF2341" w:rsidRPr="001A4D8C" w:rsidRDefault="00FF2341" w:rsidP="00DB5202">
            <w:pPr>
              <w:pStyle w:val="Tekstkomentarza"/>
              <w:widowControl/>
              <w:rPr>
                <w:rFonts w:ascii="Times New Roman" w:hAnsi="Times New Roman" w:cs="Times New Roman"/>
              </w:rPr>
            </w:pPr>
            <w:r>
              <w:rPr>
                <w:rFonts w:ascii="Fira Sans" w:hAnsi="Fira Sans"/>
                <w:sz w:val="19"/>
                <w:szCs w:val="19"/>
              </w:rPr>
              <w:fldChar w:fldCharType="begin"/>
            </w:r>
            <w:r>
              <w:rPr>
                <w:rFonts w:ascii="Fira Sans" w:hAnsi="Fira Sans"/>
                <w:sz w:val="19"/>
                <w:szCs w:val="19"/>
              </w:rPr>
              <w:instrText xml:space="preserve"> INCLUDEPICTURE  "cid:image001.png@01D4865C.6E94B660" \* MERGEFORMATINET </w:instrText>
            </w:r>
            <w:r>
              <w:rPr>
                <w:rFonts w:ascii="Fira Sans" w:hAnsi="Fira Sans"/>
                <w:sz w:val="19"/>
                <w:szCs w:val="19"/>
              </w:rPr>
              <w:fldChar w:fldCharType="separate"/>
            </w:r>
            <w:r>
              <w:rPr>
                <w:rFonts w:ascii="Fira Sans" w:hAnsi="Fira Sans"/>
                <w:sz w:val="19"/>
                <w:szCs w:val="19"/>
              </w:rPr>
              <w:fldChar w:fldCharType="begin"/>
            </w:r>
            <w:r>
              <w:rPr>
                <w:rFonts w:ascii="Fira Sans" w:hAnsi="Fira Sans"/>
                <w:sz w:val="19"/>
                <w:szCs w:val="19"/>
              </w:rPr>
              <w:instrText xml:space="preserve"> INCLUDEPICTURE  "cid:image001.png@01D4865C.6E94B660" \* MERGEFORMATINET </w:instrText>
            </w:r>
            <w:r>
              <w:rPr>
                <w:rFonts w:ascii="Fira Sans" w:hAnsi="Fira Sans"/>
                <w:sz w:val="19"/>
                <w:szCs w:val="19"/>
              </w:rPr>
              <w:fldChar w:fldCharType="separate"/>
            </w:r>
            <w:r>
              <w:rPr>
                <w:rFonts w:ascii="Fira Sans" w:hAnsi="Fira Sans"/>
                <w:sz w:val="19"/>
                <w:szCs w:val="19"/>
              </w:rPr>
              <w:fldChar w:fldCharType="begin"/>
            </w:r>
            <w:r>
              <w:rPr>
                <w:rFonts w:ascii="Fira Sans" w:hAnsi="Fira Sans"/>
                <w:sz w:val="19"/>
                <w:szCs w:val="19"/>
              </w:rPr>
              <w:instrText xml:space="preserve"> INCLUDEPICTURE  "cid:image001.png@01D4865C.6E94B660" \* MERGEFORMATINET </w:instrText>
            </w:r>
            <w:r>
              <w:rPr>
                <w:rFonts w:ascii="Fira Sans" w:hAnsi="Fira Sans"/>
                <w:sz w:val="19"/>
                <w:szCs w:val="19"/>
              </w:rPr>
              <w:fldChar w:fldCharType="separate"/>
            </w:r>
            <w:r>
              <w:rPr>
                <w:rFonts w:ascii="Fira Sans" w:hAnsi="Fira Sans"/>
                <w:sz w:val="19"/>
                <w:szCs w:val="19"/>
              </w:rPr>
              <w:fldChar w:fldCharType="begin"/>
            </w:r>
            <w:r>
              <w:rPr>
                <w:rFonts w:ascii="Fira Sans" w:hAnsi="Fira Sans"/>
                <w:sz w:val="19"/>
                <w:szCs w:val="19"/>
              </w:rPr>
              <w:instrText xml:space="preserve"> INCLUDEPICTURE  "cid:image001.png@01D4865C.6E94B660" \* MERGEFORMATINET </w:instrText>
            </w:r>
            <w:r>
              <w:rPr>
                <w:rFonts w:ascii="Fira Sans" w:hAnsi="Fira Sans"/>
                <w:sz w:val="19"/>
                <w:szCs w:val="19"/>
              </w:rPr>
              <w:fldChar w:fldCharType="separate"/>
            </w:r>
            <w:r>
              <w:rPr>
                <w:rFonts w:ascii="Fira Sans" w:hAnsi="Fira Sans"/>
                <w:sz w:val="19"/>
                <w:szCs w:val="19"/>
              </w:rPr>
              <w:fldChar w:fldCharType="begin"/>
            </w:r>
            <w:r>
              <w:rPr>
                <w:rFonts w:ascii="Fira Sans" w:hAnsi="Fira Sans"/>
                <w:sz w:val="19"/>
                <w:szCs w:val="19"/>
              </w:rPr>
              <w:instrText xml:space="preserve"> INCLUDEPICTURE  "cid:image001.png@01D4865C.6E94B660" \* MERGEFORMATINET </w:instrText>
            </w:r>
            <w:r>
              <w:rPr>
                <w:rFonts w:ascii="Fira Sans" w:hAnsi="Fira Sans"/>
                <w:sz w:val="19"/>
                <w:szCs w:val="19"/>
              </w:rPr>
              <w:fldChar w:fldCharType="separate"/>
            </w:r>
            <w:r w:rsidRPr="007658F8">
              <w:rPr>
                <w:rFonts w:ascii="Fira Sans" w:hAnsi="Fira Sans"/>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7pt">
                  <v:imagedata r:id="rId5" r:href="rId6"/>
                </v:shape>
              </w:pict>
            </w:r>
            <w:r>
              <w:rPr>
                <w:rFonts w:ascii="Fira Sans" w:hAnsi="Fira Sans"/>
                <w:sz w:val="19"/>
                <w:szCs w:val="19"/>
              </w:rPr>
              <w:fldChar w:fldCharType="end"/>
            </w:r>
            <w:r>
              <w:rPr>
                <w:rFonts w:ascii="Fira Sans" w:hAnsi="Fira Sans"/>
                <w:sz w:val="19"/>
                <w:szCs w:val="19"/>
              </w:rPr>
              <w:fldChar w:fldCharType="end"/>
            </w:r>
            <w:r>
              <w:rPr>
                <w:rFonts w:ascii="Fira Sans" w:hAnsi="Fira Sans"/>
                <w:sz w:val="19"/>
                <w:szCs w:val="19"/>
              </w:rPr>
              <w:fldChar w:fldCharType="end"/>
            </w:r>
            <w:r>
              <w:rPr>
                <w:rFonts w:ascii="Fira Sans" w:hAnsi="Fira Sans"/>
                <w:sz w:val="19"/>
                <w:szCs w:val="19"/>
              </w:rPr>
              <w:fldChar w:fldCharType="end"/>
            </w:r>
            <w:r>
              <w:rPr>
                <w:rFonts w:ascii="Fira Sans" w:hAnsi="Fira Sans"/>
                <w:sz w:val="19"/>
                <w:szCs w:val="19"/>
              </w:rPr>
              <w:fldChar w:fldCharType="end"/>
            </w:r>
          </w:p>
        </w:tc>
        <w:tc>
          <w:tcPr>
            <w:tcW w:w="2741" w:type="dxa"/>
            <w:tcBorders>
              <w:top w:val="nil"/>
              <w:left w:val="nil"/>
              <w:bottom w:val="nil"/>
            </w:tcBorders>
          </w:tcPr>
          <w:p w:rsidR="00FF2341" w:rsidRPr="001A4D8C" w:rsidRDefault="00FF2341" w:rsidP="00DB5202">
            <w:pPr>
              <w:ind w:left="215"/>
              <w:jc w:val="center"/>
              <w:rPr>
                <w:i/>
                <w:iCs/>
              </w:rPr>
            </w:pPr>
          </w:p>
        </w:tc>
        <w:tc>
          <w:tcPr>
            <w:tcW w:w="566" w:type="dxa"/>
            <w:tcBorders>
              <w:top w:val="nil"/>
              <w:bottom w:val="nil"/>
            </w:tcBorders>
            <w:shd w:val="pct20" w:color="000000" w:fill="FFFFFF"/>
          </w:tcPr>
          <w:p w:rsidR="00FF2341" w:rsidRPr="001A4D8C" w:rsidRDefault="00FF2341" w:rsidP="00DB5202"/>
        </w:tc>
      </w:tr>
      <w:tr w:rsidR="00FF2341" w:rsidRPr="00D0728F" w:rsidTr="00DB5202">
        <w:trPr>
          <w:cantSplit/>
          <w:jc w:val="center"/>
        </w:trPr>
        <w:tc>
          <w:tcPr>
            <w:tcW w:w="537" w:type="dxa"/>
            <w:tcBorders>
              <w:top w:val="nil"/>
              <w:bottom w:val="nil"/>
            </w:tcBorders>
            <w:shd w:val="pct20" w:color="000000" w:fill="FFFFFF"/>
          </w:tcPr>
          <w:p w:rsidR="00FF2341" w:rsidRPr="001A4D8C" w:rsidRDefault="00FF2341" w:rsidP="00DB5202"/>
        </w:tc>
        <w:tc>
          <w:tcPr>
            <w:tcW w:w="8536" w:type="dxa"/>
            <w:gridSpan w:val="2"/>
            <w:tcBorders>
              <w:top w:val="nil"/>
              <w:bottom w:val="nil"/>
            </w:tcBorders>
          </w:tcPr>
          <w:p w:rsidR="00FF2341" w:rsidRPr="001A4D8C" w:rsidRDefault="00FF2341" w:rsidP="00DB5202"/>
          <w:p w:rsidR="00FF2341" w:rsidRPr="001A4D8C" w:rsidRDefault="00FF2341" w:rsidP="00DB5202">
            <w:pPr>
              <w:ind w:left="5176"/>
            </w:pPr>
          </w:p>
          <w:p w:rsidR="00FF2341" w:rsidRPr="001A4D8C" w:rsidRDefault="00FF2341" w:rsidP="00DB5202">
            <w:pPr>
              <w:spacing w:before="360"/>
              <w:rPr>
                <w:b/>
                <w:bCs/>
                <w:sz w:val="56"/>
                <w:szCs w:val="56"/>
              </w:rPr>
            </w:pPr>
          </w:p>
          <w:p w:rsidR="00FF2341" w:rsidRPr="007E1832" w:rsidRDefault="00FF2341" w:rsidP="00DB5202">
            <w:pPr>
              <w:spacing w:before="360"/>
              <w:jc w:val="center"/>
              <w:rPr>
                <w:rFonts w:ascii="Fira Sans" w:hAnsi="Fira Sans"/>
                <w:b/>
                <w:bCs/>
                <w:sz w:val="44"/>
                <w:szCs w:val="44"/>
              </w:rPr>
            </w:pPr>
            <w:r w:rsidRPr="007E1832">
              <w:rPr>
                <w:rFonts w:ascii="Fira Sans" w:hAnsi="Fira Sans"/>
                <w:b/>
                <w:bCs/>
                <w:sz w:val="44"/>
                <w:szCs w:val="44"/>
              </w:rPr>
              <w:t>Prace</w:t>
            </w:r>
          </w:p>
          <w:p w:rsidR="00FF2341" w:rsidRPr="007E1832" w:rsidRDefault="00FF2341" w:rsidP="00DB5202">
            <w:pPr>
              <w:spacing w:before="360"/>
              <w:jc w:val="center"/>
              <w:rPr>
                <w:rFonts w:ascii="Fira Sans" w:hAnsi="Fira Sans"/>
                <w:b/>
                <w:bCs/>
                <w:sz w:val="44"/>
                <w:szCs w:val="44"/>
              </w:rPr>
            </w:pPr>
            <w:r w:rsidRPr="007E1832">
              <w:rPr>
                <w:rFonts w:ascii="Fira Sans" w:hAnsi="Fira Sans"/>
                <w:b/>
                <w:bCs/>
                <w:sz w:val="44"/>
                <w:szCs w:val="44"/>
              </w:rPr>
              <w:t>metodologiczne</w:t>
            </w:r>
          </w:p>
          <w:p w:rsidR="00FF2341" w:rsidRPr="007E1832" w:rsidRDefault="00FF2341" w:rsidP="00DB5202">
            <w:pPr>
              <w:spacing w:before="360"/>
              <w:jc w:val="center"/>
              <w:rPr>
                <w:rFonts w:ascii="Fira Sans" w:hAnsi="Fira Sans"/>
                <w:b/>
                <w:bCs/>
                <w:sz w:val="44"/>
                <w:szCs w:val="44"/>
              </w:rPr>
            </w:pPr>
            <w:r>
              <w:rPr>
                <w:rFonts w:ascii="Fira Sans" w:hAnsi="Fira Sans"/>
                <w:b/>
                <w:bCs/>
                <w:sz w:val="44"/>
                <w:szCs w:val="44"/>
              </w:rPr>
              <w:t>2019</w:t>
            </w:r>
          </w:p>
          <w:p w:rsidR="00FF2341" w:rsidRPr="001A4D8C"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Pr="003A2A0E" w:rsidRDefault="00FF2341" w:rsidP="00DB5202"/>
          <w:p w:rsidR="00FF2341" w:rsidRPr="00C174FD" w:rsidRDefault="00FF2341" w:rsidP="00DB5202">
            <w:pPr>
              <w:jc w:val="center"/>
              <w:rPr>
                <w:rFonts w:ascii="Fira Sans" w:hAnsi="Fira Sans"/>
                <w:b/>
                <w:bCs/>
                <w:sz w:val="19"/>
                <w:szCs w:val="19"/>
              </w:rPr>
            </w:pPr>
          </w:p>
          <w:p w:rsidR="00FF2341" w:rsidRPr="001A4D8C" w:rsidRDefault="00FF2341" w:rsidP="00DB5202">
            <w:pPr>
              <w:jc w:val="center"/>
              <w:rPr>
                <w:i/>
                <w:iCs/>
              </w:rPr>
            </w:pPr>
            <w:r w:rsidRPr="00C174FD">
              <w:rPr>
                <w:rFonts w:ascii="Fira Sans" w:hAnsi="Fira Sans"/>
                <w:iCs/>
                <w:sz w:val="19"/>
                <w:szCs w:val="19"/>
              </w:rPr>
              <w:t xml:space="preserve">Warszawa, </w:t>
            </w:r>
            <w:r>
              <w:rPr>
                <w:rFonts w:ascii="Fira Sans" w:hAnsi="Fira Sans"/>
                <w:iCs/>
                <w:sz w:val="19"/>
                <w:szCs w:val="19"/>
              </w:rPr>
              <w:t>listopad</w:t>
            </w:r>
            <w:r w:rsidRPr="00C174FD">
              <w:rPr>
                <w:rFonts w:ascii="Fira Sans" w:hAnsi="Fira Sans"/>
                <w:iCs/>
                <w:sz w:val="19"/>
                <w:szCs w:val="19"/>
              </w:rPr>
              <w:t xml:space="preserve"> 2018 r.</w:t>
            </w:r>
          </w:p>
          <w:p w:rsidR="00FF2341" w:rsidRPr="001A4D8C" w:rsidRDefault="00FF2341" w:rsidP="00DB5202">
            <w:pPr>
              <w:keepNext/>
            </w:pPr>
          </w:p>
        </w:tc>
        <w:tc>
          <w:tcPr>
            <w:tcW w:w="566" w:type="dxa"/>
            <w:tcBorders>
              <w:top w:val="nil"/>
              <w:bottom w:val="nil"/>
            </w:tcBorders>
            <w:shd w:val="pct20" w:color="000000" w:fill="FFFFFF"/>
          </w:tcPr>
          <w:p w:rsidR="00FF2341" w:rsidRPr="001A4D8C" w:rsidRDefault="00FF2341" w:rsidP="00DB5202"/>
        </w:tc>
      </w:tr>
      <w:tr w:rsidR="00FF2341" w:rsidRPr="0055329C" w:rsidTr="00DB5202">
        <w:trPr>
          <w:cantSplit/>
          <w:jc w:val="center"/>
        </w:trPr>
        <w:tc>
          <w:tcPr>
            <w:tcW w:w="537" w:type="dxa"/>
            <w:tcBorders>
              <w:top w:val="nil"/>
              <w:right w:val="nil"/>
            </w:tcBorders>
            <w:shd w:val="pct20" w:color="000000" w:fill="FFFFFF"/>
          </w:tcPr>
          <w:p w:rsidR="00FF2341" w:rsidRPr="001A4D8C" w:rsidRDefault="00FF2341" w:rsidP="00DB5202">
            <w:r w:rsidRPr="001A4D8C">
              <w:br w:type="page"/>
            </w:r>
          </w:p>
          <w:p w:rsidR="00FF2341" w:rsidRPr="001A4D8C" w:rsidRDefault="00FF2341" w:rsidP="00DB5202"/>
        </w:tc>
        <w:tc>
          <w:tcPr>
            <w:tcW w:w="5795" w:type="dxa"/>
            <w:tcBorders>
              <w:left w:val="nil"/>
              <w:right w:val="nil"/>
            </w:tcBorders>
            <w:shd w:val="pct20" w:color="000000" w:fill="FFFFFF"/>
          </w:tcPr>
          <w:p w:rsidR="00FF2341" w:rsidRPr="001A4D8C" w:rsidRDefault="00FF2341" w:rsidP="00DB5202"/>
        </w:tc>
        <w:tc>
          <w:tcPr>
            <w:tcW w:w="2741" w:type="dxa"/>
            <w:tcBorders>
              <w:left w:val="nil"/>
              <w:right w:val="nil"/>
            </w:tcBorders>
            <w:shd w:val="pct20" w:color="000000" w:fill="FFFFFF"/>
          </w:tcPr>
          <w:p w:rsidR="00FF2341" w:rsidRPr="001A4D8C" w:rsidRDefault="00FF2341" w:rsidP="00DB5202"/>
        </w:tc>
        <w:tc>
          <w:tcPr>
            <w:tcW w:w="566" w:type="dxa"/>
            <w:tcBorders>
              <w:top w:val="nil"/>
              <w:left w:val="nil"/>
            </w:tcBorders>
            <w:shd w:val="pct20" w:color="000000" w:fill="FFFFFF"/>
          </w:tcPr>
          <w:p w:rsidR="00FF2341" w:rsidRPr="001A4D8C" w:rsidRDefault="00FF2341" w:rsidP="00DB5202"/>
        </w:tc>
      </w:tr>
    </w:tbl>
    <w:p w:rsidR="00FF2341" w:rsidRDefault="00FF2341" w:rsidP="00FF2341"/>
    <w:p w:rsidR="00FF2341" w:rsidRDefault="00FF2341" w:rsidP="00FF2341"/>
    <w:p w:rsidR="00FF2341" w:rsidRDefault="00FF2341" w:rsidP="00FF2341">
      <w:r>
        <w:br w:type="page"/>
      </w:r>
    </w:p>
    <w:p w:rsidR="00FF2341" w:rsidRPr="004A21B1" w:rsidRDefault="00FF2341" w:rsidP="00FF2341">
      <w:pPr>
        <w:jc w:val="both"/>
        <w:rPr>
          <w:rFonts w:ascii="Fira Sans" w:hAnsi="Fira Sans"/>
          <w:sz w:val="19"/>
          <w:szCs w:val="19"/>
        </w:rPr>
      </w:pPr>
      <w:r w:rsidRPr="004A21B1">
        <w:rPr>
          <w:rFonts w:ascii="Fira Sans" w:hAnsi="Fira Sans"/>
          <w:sz w:val="19"/>
          <w:szCs w:val="19"/>
        </w:rPr>
        <w:lastRenderedPageBreak/>
        <w:t>Realizacja przez statystykę publiczną zadań określanych w rocznych programach badań statystycznych wymaga właściwego przygotowania metodologicznego każdego tematu badania. Prace metodologiczne są integralnym elementem tematyki programowej, niezbędnym do realizacji szczególnie nowych zamierzeń programowych, jak również do stałego doskonalenia dotychczas stosowanych metod badawczych w badaniach kontynuowanych.</w:t>
      </w:r>
    </w:p>
    <w:p w:rsidR="00FF2341" w:rsidRPr="004A21B1" w:rsidRDefault="00FF2341" w:rsidP="00FF2341">
      <w:pPr>
        <w:jc w:val="both"/>
        <w:rPr>
          <w:rFonts w:ascii="Fira Sans" w:hAnsi="Fira Sans"/>
          <w:sz w:val="19"/>
          <w:szCs w:val="19"/>
        </w:rPr>
      </w:pPr>
      <w:r w:rsidRPr="004A21B1">
        <w:rPr>
          <w:rFonts w:ascii="Fira Sans" w:hAnsi="Fira Sans"/>
          <w:sz w:val="19"/>
          <w:szCs w:val="19"/>
        </w:rPr>
        <w:tab/>
      </w:r>
    </w:p>
    <w:p w:rsidR="00FF2341" w:rsidRPr="004A21B1" w:rsidRDefault="00FF2341" w:rsidP="00FF2341">
      <w:pPr>
        <w:jc w:val="both"/>
        <w:rPr>
          <w:rFonts w:ascii="Fira Sans" w:hAnsi="Fira Sans"/>
          <w:sz w:val="19"/>
          <w:szCs w:val="19"/>
        </w:rPr>
      </w:pPr>
      <w:r w:rsidRPr="004A21B1">
        <w:rPr>
          <w:rFonts w:ascii="Fira Sans" w:hAnsi="Fira Sans"/>
          <w:sz w:val="19"/>
          <w:szCs w:val="19"/>
        </w:rPr>
        <w:t xml:space="preserve">Prowadzenie prac metodologicznych zwłaszcza doskonalących jakość badań, należy do stałych zadań realizowanych przez służby statystyki publicznej. Podyktowane to jest złożonością systemu informacji statystycznej, bardzo obszernym zakresem tematycznym, koniecznością korzystania z wielu różnorodnych źródeł danych, a także powiązaniem tego systemu z infrastrukturą informacyjną i organizacyjną państwa. </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 xml:space="preserve">Profesjonalne przygotowanie metodologiczne i realizacja przedsięwzięć badawczych statystyki publicznej, pozwala na uzyskanie wynikowych informacji mających charakter oficjalnych danych statystycznych. Jakość tych danych uzależniona jest głównie od zaufania i współpracy obywateli, przedsiębiorców i innych respondentów dostarczających właściwych i wiarygodnych danych niezbędnych dla celów statystycznych, a także od współdziałania użytkowników i producentów statystyki w celu spełnienia oczekiwań szerokiego kręgu odbiorców informacji. Tak pozyskiwane informacje spełniają nie tylko podstawowe zasady statystyki oficjalnej, ale są </w:t>
      </w:r>
      <w:r w:rsidRPr="004A21B1">
        <w:rPr>
          <w:rFonts w:ascii="Fira Sans" w:hAnsi="Fira Sans"/>
          <w:sz w:val="19"/>
          <w:szCs w:val="19"/>
        </w:rPr>
        <w:br/>
        <w:t>w informacyjnym systemie społeczeństwa demokratycznego, dostarczając organom władzy państwowej, administracji publicznej, sektorowi gospodarczemu i społeczeństwu danych obrazujących sytuację społeczno-ekonomiczną kraju, jak również służą realizacji zobowiązań informacyjnych z tytułu członkostwa w różnych organizacjach międzynarodowych.</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Właściwe przygotowanie metodyczno-organizacyjne badań pozwala nie tylko na pełnienie przez statystykę informacyjnej funkcji usługi publicznej na rzecz szeroko rozumianych użytkowników, ale jest warunkiem uzyskania poprawnych i spójnych danych statystycznych spełniających kryterium społecznej użyteczności, obiektywizmu, rzetelności, profesjonalizmu, niezależności prowadzenia badań i wiarygodności uzyskiwanych wyników. Wyniki badań powinny cieszyć się powszechnym zaufaniem i być udostępniane na zasadach bezstronności i poszanowania dostępu obywateli do informacji publicznych. Prace metodologiczne mają istotne znaczenie dla zapewnienia wymaganej jakości informacji możliwie najniższym kosztem i bez nadmiernego obciążania obowiązkami sprawozdawczymi respondentów przekazujących dane dla celów statystycznych.</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Problematyka prac metodologicznych ma na celu dostosowywanie tematyki badań statystycznych do stale zachodzących w kraju przemian społeczno-gospodarczych, a także do obowiązków wynikających z tytułu członkostwa w UE. Powstawanie nowych zjawisk a także tworzenie się nowych struktur społecznych i gospodarczych wymaga ich poznania przez obserwację statystyczną. Ulegają zmianie, a właściwie ciągle rosną potrzeby użytkowników danych statystycznych, co wymusza modyfikację istniejących i budowę nowych systemów badań statystycznych. W tym zakresie również dokonuje się transformacja metodologii badań statystycznych. Jest ona związana ze standaryzacją pojęć, definicji, klasyfikacji, rozwojem i wzbogacaniem metod obserwacji. Transformacja statystyki to nie tylko modyfikacja metodologii badań, ale także konieczność określania przyszłych potrzeb użytkowników, ukierunkowanie statystyki na zbieranie danych pozwalających na tworzenie nowoczesnych informacji statystycznych, w tym umożliwiającej przewidywanie i prognozowanie zjawisk i procesów społeczno-gospodarczych. Problematyka prac metodologicznych określa także ważniejsze kierunki zamierzeń programowych statystyki publicznej w następnych latach.</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 xml:space="preserve">Przygotowanie metodologiczne badań powinno generalnie dotyczyć przedsięwzięć badawczych o zasadniczym znaczeniu, wymagających przygotowania metodycznego (badania masowe, badania nowe), a także tematów badań, w tym również kontynuowanych, w których w szerokim zakresie będą wykorzystywane nowe źródła danych, zwłaszcza dane z administracyjnych systemów informacyjnych. </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 xml:space="preserve">Zadania metodologiczne dotyczące prac dodatkowych (uzupełniających) o charakterze usprawniającym, doskonalącym proces badawczy lub zmieniającym w nieznacznym stopniu prowadzone badania, nie powinny stanowić wyodrębnionych tematów. Prace tego rodzaju należy prowadzić na bieżąco w ramach realizacji określonych badań. Prace metodologiczne o zbliżonej tematyce należy ujmować kompleksowo w jednym temacie. </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Przygotowanie metodologiczne badania statystycznego wymaga określenia metodyki realizacji wielu czynności, które można w ogólnym ujęciu podzielić na następujące etapy:</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zdefiniowanie problemu i sformułowanie hipotezy roboczej całości badania statystycznego,</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opracowanie planu badania, jego organizacji, wybór właściwej metody badania,</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lastRenderedPageBreak/>
        <w:t xml:space="preserve">rozpoznanie źródeł zasilania oraz zebranie (gromadzenie) danych dla potrzeb badania, ze szczególnym uwzględnieniem wykorzystywania danych ze źródeł </w:t>
      </w:r>
      <w:proofErr w:type="spellStart"/>
      <w:r w:rsidRPr="004A21B1">
        <w:rPr>
          <w:rFonts w:ascii="Fira Sans" w:hAnsi="Fira Sans"/>
          <w:sz w:val="19"/>
          <w:szCs w:val="19"/>
        </w:rPr>
        <w:t>pozastatystycznych</w:t>
      </w:r>
      <w:proofErr w:type="spellEnd"/>
      <w:r w:rsidRPr="004A21B1">
        <w:rPr>
          <w:rFonts w:ascii="Fira Sans" w:hAnsi="Fira Sans"/>
          <w:sz w:val="19"/>
          <w:szCs w:val="19"/>
        </w:rPr>
        <w:t>, a szczególnie z administracyjnych systemów informacyjnych, podając zakres danych, w jakiej formie i w jakich terminach będą pozyskiwane,</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kontrola pozyskanych do badania danych, przetworzenie i opracowanie tablic wynikowych,</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analiza statystyczna i interpretacja wyników oraz sformułowanie wniosków, zdefiniowanie wynikowych zbiorów informacji, formy prezentacji i udostępniania,</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forma zakończenia pracy metodologicznej np. zeszyt metodologiczny, publikacja tematyczna, raport, notatka lub inny rodzaj opracowania,</w:t>
      </w:r>
    </w:p>
    <w:p w:rsidR="00FF2341" w:rsidRPr="004A21B1" w:rsidRDefault="00FF2341" w:rsidP="00FF2341">
      <w:pPr>
        <w:pStyle w:val="Akapitzlist"/>
        <w:numPr>
          <w:ilvl w:val="0"/>
          <w:numId w:val="6"/>
        </w:numPr>
        <w:jc w:val="both"/>
        <w:rPr>
          <w:rFonts w:ascii="Fira Sans" w:hAnsi="Fira Sans"/>
          <w:sz w:val="19"/>
          <w:szCs w:val="19"/>
        </w:rPr>
      </w:pPr>
      <w:r w:rsidRPr="004A21B1">
        <w:rPr>
          <w:rFonts w:ascii="Fira Sans" w:hAnsi="Fira Sans"/>
          <w:sz w:val="19"/>
          <w:szCs w:val="19"/>
        </w:rPr>
        <w:t>przedłożenie w uzasadnionych przypadkach projektu pracy metodologicznej do rozpatrzenia przez Komisję Metodologiczną i uwzględnienie zasadnych uwag i zaleceń oraz przygotowanie ostatecznej wersji pracy.</w:t>
      </w:r>
    </w:p>
    <w:p w:rsidR="00FF2341" w:rsidRPr="004A21B1" w:rsidRDefault="00FF2341" w:rsidP="00FF2341">
      <w:pPr>
        <w:jc w:val="both"/>
        <w:rPr>
          <w:rFonts w:ascii="Fira Sans" w:hAnsi="Fira Sans"/>
          <w:sz w:val="19"/>
          <w:szCs w:val="19"/>
        </w:rPr>
      </w:pPr>
    </w:p>
    <w:p w:rsidR="00FF2341" w:rsidRPr="004A21B1" w:rsidRDefault="00FF2341" w:rsidP="00FF2341">
      <w:pPr>
        <w:jc w:val="both"/>
        <w:rPr>
          <w:rFonts w:ascii="Fira Sans" w:hAnsi="Fira Sans"/>
          <w:sz w:val="19"/>
          <w:szCs w:val="19"/>
        </w:rPr>
      </w:pPr>
      <w:r w:rsidRPr="004A21B1">
        <w:rPr>
          <w:rFonts w:ascii="Fira Sans" w:hAnsi="Fira Sans"/>
          <w:sz w:val="19"/>
          <w:szCs w:val="19"/>
        </w:rPr>
        <w:t xml:space="preserve">Zakres prac metodologicznych uzależniony jest często od rodzaju tematyki planowanej do badania, stąd też proces jest rozłożony na różne okresy. Zachodzi często potrzeba zaangażowania do tych prac ekspertów ze środowisk naukowych. Szeroki zakres i złożoność problematyki badawczej, zwłaszcza w odniesieniu do badań masowych sprawiają, że opracowane zasady metodyczne muszą być przed ostatecznym wdrożeniem do praktyki statystycznej przetestowane poprzez przeprowadzenie wstępnych badań (próbnych) pod kątem sprawdzania poprawności </w:t>
      </w:r>
      <w:r>
        <w:rPr>
          <w:rFonts w:ascii="Fira Sans" w:hAnsi="Fira Sans"/>
          <w:sz w:val="19"/>
          <w:szCs w:val="19"/>
        </w:rPr>
        <w:br/>
      </w:r>
      <w:r w:rsidRPr="004A21B1">
        <w:rPr>
          <w:rFonts w:ascii="Fira Sans" w:hAnsi="Fira Sans"/>
          <w:sz w:val="19"/>
          <w:szCs w:val="19"/>
        </w:rPr>
        <w:t>i zasadności przyjętych rozwiązań metodologiczno-organizacyjnych. Także ograniczone środki budżetowe powodują konieczność doskonalenia dotychczasowych badań oraz poszukiwania nowych, bardziej ekonomicznych rozwiązań metodologicznych.</w:t>
      </w:r>
    </w:p>
    <w:p w:rsidR="00FF2341" w:rsidRPr="004A21B1" w:rsidRDefault="00FF2341" w:rsidP="00FF2341">
      <w:pPr>
        <w:jc w:val="both"/>
        <w:rPr>
          <w:rFonts w:ascii="Fira Sans" w:hAnsi="Fira Sans"/>
          <w:sz w:val="19"/>
          <w:szCs w:val="19"/>
        </w:rPr>
      </w:pPr>
    </w:p>
    <w:p w:rsidR="00FF2341" w:rsidRDefault="00FF2341" w:rsidP="00FF2341">
      <w:pPr>
        <w:jc w:val="both"/>
        <w:rPr>
          <w:rFonts w:ascii="Fira Sans" w:hAnsi="Fira Sans"/>
          <w:sz w:val="19"/>
          <w:szCs w:val="19"/>
        </w:rPr>
      </w:pPr>
      <w:r w:rsidRPr="004A21B1">
        <w:rPr>
          <w:rFonts w:ascii="Fira Sans" w:hAnsi="Fira Sans"/>
          <w:sz w:val="19"/>
          <w:szCs w:val="19"/>
        </w:rPr>
        <w:t>Rzetelne przygotowanie metodologiczne badań zapewnia powodzenie w ich przeprowadzeniu, a tym samym pozwala sprostać zadaniom stawianym statystyce przez nowoczesne  państwo i społeczeństwo.</w:t>
      </w:r>
    </w:p>
    <w:p w:rsidR="00FF2341" w:rsidRDefault="00FF2341" w:rsidP="00FF2341">
      <w:pPr>
        <w:jc w:val="both"/>
        <w:rPr>
          <w:rFonts w:ascii="Fira Sans" w:hAnsi="Fira Sans"/>
          <w:sz w:val="19"/>
          <w:szCs w:val="19"/>
        </w:rPr>
      </w:pPr>
    </w:p>
    <w:p w:rsidR="00FF2341" w:rsidRDefault="00FF2341" w:rsidP="00FF2341">
      <w:pPr>
        <w:jc w:val="both"/>
        <w:rPr>
          <w:rFonts w:ascii="Fira Sans" w:hAnsi="Fira Sans"/>
          <w:sz w:val="19"/>
          <w:szCs w:val="19"/>
        </w:rPr>
      </w:pPr>
    </w:p>
    <w:p w:rsidR="00FF2341" w:rsidRPr="007942B8" w:rsidRDefault="00FF2341" w:rsidP="00FF2341">
      <w:pPr>
        <w:jc w:val="both"/>
        <w:rPr>
          <w:sz w:val="24"/>
          <w:szCs w:val="24"/>
        </w:rPr>
        <w:sectPr w:rsidR="00FF2341" w:rsidRPr="007942B8" w:rsidSect="00FE350C">
          <w:headerReference w:type="default" r:id="rId7"/>
          <w:footerReference w:type="default" r:id="rId8"/>
          <w:pgSz w:w="12240" w:h="15840"/>
          <w:pgMar w:top="142" w:right="1134" w:bottom="1134" w:left="1134" w:header="357" w:footer="357" w:gutter="0"/>
          <w:cols w:space="708"/>
          <w:docGrid w:linePitch="272"/>
        </w:sectPr>
      </w:pPr>
    </w:p>
    <w:tbl>
      <w:tblPr>
        <w:tblW w:w="11065" w:type="dxa"/>
        <w:tblLayout w:type="fixed"/>
        <w:tblLook w:val="01E0" w:firstRow="1" w:lastRow="1" w:firstColumn="1" w:lastColumn="1" w:noHBand="0" w:noVBand="0"/>
      </w:tblPr>
      <w:tblGrid>
        <w:gridCol w:w="567"/>
        <w:gridCol w:w="993"/>
        <w:gridCol w:w="4394"/>
        <w:gridCol w:w="3544"/>
        <w:gridCol w:w="1567"/>
      </w:tblGrid>
      <w:tr w:rsidR="00FF2341" w:rsidRPr="000D0346" w:rsidTr="00DB5202">
        <w:trPr>
          <w:trHeight w:val="778"/>
        </w:trPr>
        <w:tc>
          <w:tcPr>
            <w:tcW w:w="11065" w:type="dxa"/>
            <w:gridSpan w:val="5"/>
            <w:tcMar>
              <w:top w:w="0" w:type="dxa"/>
              <w:left w:w="0" w:type="dxa"/>
              <w:bottom w:w="0" w:type="dxa"/>
              <w:right w:w="0" w:type="dxa"/>
            </w:tcMar>
          </w:tcPr>
          <w:p w:rsidR="00FF2341" w:rsidRPr="006720A5" w:rsidRDefault="00FF2341" w:rsidP="00DB5202">
            <w:pPr>
              <w:rPr>
                <w:rFonts w:ascii="Fira Sans" w:hAnsi="Fira Sans"/>
                <w:b/>
                <w:sz w:val="24"/>
                <w:szCs w:val="24"/>
              </w:rPr>
            </w:pPr>
            <w:r w:rsidRPr="006720A5">
              <w:rPr>
                <w:rFonts w:ascii="Fira Sans" w:hAnsi="Fira Sans"/>
                <w:b/>
                <w:sz w:val="24"/>
                <w:szCs w:val="24"/>
              </w:rPr>
              <w:lastRenderedPageBreak/>
              <w:t xml:space="preserve">PLAN PRAC METODOLOGICZNYCH NA 2019 </w:t>
            </w:r>
            <w:r>
              <w:rPr>
                <w:rFonts w:ascii="Fira Sans" w:hAnsi="Fira Sans"/>
                <w:b/>
                <w:sz w:val="24"/>
                <w:szCs w:val="24"/>
              </w:rPr>
              <w:t>r</w:t>
            </w:r>
            <w:r w:rsidRPr="006720A5">
              <w:rPr>
                <w:rFonts w:ascii="Fira Sans" w:hAnsi="Fira Sans"/>
                <w:b/>
                <w:sz w:val="24"/>
                <w:szCs w:val="24"/>
              </w:rPr>
              <w:t>.</w:t>
            </w:r>
          </w:p>
        </w:tc>
      </w:tr>
      <w:tr w:rsidR="00FF2341" w:rsidRPr="006720A5" w:rsidTr="00DB5202">
        <w:trPr>
          <w:gridAfter w:val="1"/>
          <w:wAfter w:w="1567" w:type="dxa"/>
          <w:trHeight w:val="574"/>
          <w:tblHeader/>
        </w:trPr>
        <w:tc>
          <w:tcPr>
            <w:tcW w:w="567" w:type="dxa"/>
            <w:tcBorders>
              <w:top w:val="single" w:sz="4" w:space="0" w:color="auto"/>
              <w:left w:val="single" w:sz="4" w:space="0" w:color="auto"/>
              <w:bottom w:val="single" w:sz="4" w:space="0" w:color="auto"/>
              <w:right w:val="single" w:sz="4" w:space="0" w:color="auto"/>
            </w:tcBorders>
          </w:tcPr>
          <w:p w:rsidR="00FF2341" w:rsidRPr="006720A5" w:rsidRDefault="00FF2341" w:rsidP="00DB5202">
            <w:pPr>
              <w:spacing w:before="240"/>
              <w:jc w:val="center"/>
              <w:rPr>
                <w:rFonts w:ascii="Fira Sans" w:hAnsi="Fira Sans"/>
                <w:b/>
                <w:sz w:val="19"/>
                <w:szCs w:val="19"/>
              </w:rPr>
            </w:pPr>
            <w:bookmarkStart w:id="0" w:name="__bookmark_1"/>
            <w:bookmarkEnd w:id="0"/>
            <w:r w:rsidRPr="006720A5">
              <w:rPr>
                <w:rFonts w:ascii="Fira Sans" w:hAnsi="Fira Sans"/>
                <w:b/>
                <w:sz w:val="19"/>
                <w:szCs w:val="19"/>
              </w:rPr>
              <w:t>Lp.</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spacing w:before="240"/>
              <w:jc w:val="center"/>
              <w:rPr>
                <w:rFonts w:ascii="Fira Sans" w:hAnsi="Fira Sans"/>
                <w:b/>
                <w:sz w:val="19"/>
                <w:szCs w:val="19"/>
              </w:rPr>
            </w:pPr>
            <w:r w:rsidRPr="006720A5">
              <w:rPr>
                <w:rFonts w:ascii="Fira Sans" w:hAnsi="Fira Sans"/>
                <w:b/>
                <w:sz w:val="19"/>
                <w:szCs w:val="19"/>
              </w:rPr>
              <w:t>Symbol</w:t>
            </w:r>
          </w:p>
        </w:tc>
        <w:tc>
          <w:tcPr>
            <w:tcW w:w="4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spacing w:before="240"/>
              <w:jc w:val="center"/>
              <w:rPr>
                <w:rFonts w:ascii="Fira Sans" w:hAnsi="Fira Sans"/>
                <w:b/>
                <w:sz w:val="19"/>
                <w:szCs w:val="19"/>
              </w:rPr>
            </w:pPr>
            <w:r w:rsidRPr="006720A5">
              <w:rPr>
                <w:rFonts w:ascii="Fira Sans" w:hAnsi="Fira Sans"/>
                <w:b/>
                <w:sz w:val="19"/>
                <w:szCs w:val="19"/>
              </w:rPr>
              <w:t>Tytuł</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spacing w:before="240"/>
              <w:jc w:val="center"/>
              <w:rPr>
                <w:rFonts w:ascii="Fira Sans" w:hAnsi="Fira Sans"/>
                <w:b/>
                <w:sz w:val="19"/>
                <w:szCs w:val="19"/>
              </w:rPr>
            </w:pPr>
            <w:r w:rsidRPr="006720A5">
              <w:rPr>
                <w:rFonts w:ascii="Fira Sans" w:hAnsi="Fira Sans"/>
                <w:b/>
                <w:sz w:val="19"/>
                <w:szCs w:val="19"/>
              </w:rPr>
              <w:t>Jednostka wiodąca</w:t>
            </w:r>
          </w:p>
        </w:tc>
      </w:tr>
      <w:tr w:rsidR="00FF2341" w:rsidRPr="006720A5" w:rsidTr="00DB5202">
        <w:trPr>
          <w:gridAfter w:val="1"/>
          <w:wAfter w:w="1567" w:type="dxa"/>
          <w:trHeight w:val="309"/>
        </w:trPr>
        <w:tc>
          <w:tcPr>
            <w:tcW w:w="567" w:type="dxa"/>
            <w:tcBorders>
              <w:top w:val="single" w:sz="4" w:space="0" w:color="auto"/>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1.</w:t>
            </w:r>
          </w:p>
        </w:tc>
        <w:tc>
          <w:tcPr>
            <w:tcW w:w="993" w:type="dxa"/>
            <w:tcBorders>
              <w:top w:val="single" w:sz="4" w:space="0" w:color="auto"/>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3.010</w:t>
            </w:r>
          </w:p>
        </w:tc>
        <w:tc>
          <w:tcPr>
            <w:tcW w:w="4394" w:type="dxa"/>
            <w:tcBorders>
              <w:top w:val="single" w:sz="4" w:space="0" w:color="auto"/>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Opracowanie metodologii badań modułowych BAEL</w:t>
            </w:r>
          </w:p>
        </w:tc>
        <w:tc>
          <w:tcPr>
            <w:tcW w:w="3544" w:type="dxa"/>
            <w:tcBorders>
              <w:top w:val="single" w:sz="4" w:space="0" w:color="auto"/>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Rynku Pracy</w:t>
            </w:r>
          </w:p>
        </w:tc>
      </w:tr>
      <w:tr w:rsidR="00FF2341" w:rsidRPr="006720A5" w:rsidTr="00DB5202">
        <w:trPr>
          <w:gridAfter w:val="1"/>
          <w:wAfter w:w="1567" w:type="dxa"/>
          <w:trHeight w:val="331"/>
        </w:trPr>
        <w:tc>
          <w:tcPr>
            <w:tcW w:w="567" w:type="dxa"/>
            <w:tcBorders>
              <w:top w:val="single" w:sz="6" w:space="0" w:color="C0C0C0"/>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2.</w:t>
            </w:r>
          </w:p>
        </w:tc>
        <w:tc>
          <w:tcPr>
            <w:tcW w:w="993"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3.240</w:t>
            </w:r>
          </w:p>
        </w:tc>
        <w:tc>
          <w:tcPr>
            <w:tcW w:w="439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Satelitarny rachunek ochrony socjalnej</w:t>
            </w:r>
          </w:p>
        </w:tc>
        <w:tc>
          <w:tcPr>
            <w:tcW w:w="354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Urząd Statystyczny w Krakowie</w:t>
            </w:r>
          </w:p>
        </w:tc>
      </w:tr>
      <w:tr w:rsidR="00FF2341" w:rsidRPr="006720A5" w:rsidTr="00DB5202">
        <w:trPr>
          <w:gridAfter w:val="1"/>
          <w:wAfter w:w="1567" w:type="dxa"/>
          <w:trHeight w:val="1282"/>
        </w:trPr>
        <w:tc>
          <w:tcPr>
            <w:tcW w:w="567" w:type="dxa"/>
            <w:tcBorders>
              <w:top w:val="single" w:sz="6" w:space="0" w:color="C0C0C0"/>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3.</w:t>
            </w:r>
          </w:p>
        </w:tc>
        <w:tc>
          <w:tcPr>
            <w:tcW w:w="993"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3.246</w:t>
            </w:r>
          </w:p>
        </w:tc>
        <w:tc>
          <w:tcPr>
            <w:tcW w:w="439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Opracowanie metody szacowania stanu </w:t>
            </w:r>
            <w:r>
              <w:rPr>
                <w:rFonts w:ascii="Fira Sans" w:hAnsi="Fira Sans"/>
                <w:sz w:val="19"/>
                <w:szCs w:val="19"/>
              </w:rPr>
              <w:br/>
            </w:r>
            <w:r w:rsidRPr="006720A5">
              <w:rPr>
                <w:rFonts w:ascii="Fira Sans" w:hAnsi="Fira Sans"/>
                <w:sz w:val="19"/>
                <w:szCs w:val="19"/>
              </w:rPr>
              <w:t xml:space="preserve">i struktury  ludności według rzeczywistego miejsca pobytu  z uwzględnieniem kryterium przebywania </w:t>
            </w:r>
            <w:r>
              <w:rPr>
                <w:rFonts w:ascii="Fira Sans" w:hAnsi="Fira Sans"/>
                <w:sz w:val="19"/>
                <w:szCs w:val="19"/>
              </w:rPr>
              <w:br/>
            </w:r>
            <w:r w:rsidRPr="006720A5">
              <w:rPr>
                <w:rFonts w:ascii="Fira Sans" w:hAnsi="Fira Sans"/>
                <w:sz w:val="19"/>
                <w:szCs w:val="19"/>
              </w:rPr>
              <w:t>i nieobecności 12 miesięcy i dłużej według podziału terytorialnego i siatki kilometrowej.</w:t>
            </w:r>
          </w:p>
        </w:tc>
        <w:tc>
          <w:tcPr>
            <w:tcW w:w="354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Badań Demograficznych</w:t>
            </w:r>
          </w:p>
        </w:tc>
      </w:tr>
      <w:tr w:rsidR="00FF2341" w:rsidRPr="006720A5" w:rsidTr="00DB5202">
        <w:trPr>
          <w:gridAfter w:val="1"/>
          <w:wAfter w:w="1567" w:type="dxa"/>
          <w:trHeight w:val="641"/>
        </w:trPr>
        <w:tc>
          <w:tcPr>
            <w:tcW w:w="567" w:type="dxa"/>
            <w:tcBorders>
              <w:top w:val="single" w:sz="6" w:space="0" w:color="C0C0C0"/>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4.</w:t>
            </w:r>
          </w:p>
        </w:tc>
        <w:tc>
          <w:tcPr>
            <w:tcW w:w="993"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3.248</w:t>
            </w:r>
          </w:p>
        </w:tc>
        <w:tc>
          <w:tcPr>
            <w:tcW w:w="439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Rachunki eksperymentalne KLEMS dla gospodarki  polskiej</w:t>
            </w:r>
          </w:p>
        </w:tc>
        <w:tc>
          <w:tcPr>
            <w:tcW w:w="354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Studiów Makroekonomicznych i Finansów</w:t>
            </w:r>
          </w:p>
        </w:tc>
      </w:tr>
      <w:tr w:rsidR="00FF2341" w:rsidRPr="006720A5" w:rsidTr="00DB5202">
        <w:trPr>
          <w:gridAfter w:val="1"/>
          <w:wAfter w:w="1567" w:type="dxa"/>
          <w:trHeight w:val="972"/>
        </w:trPr>
        <w:tc>
          <w:tcPr>
            <w:tcW w:w="567" w:type="dxa"/>
            <w:tcBorders>
              <w:top w:val="single" w:sz="6" w:space="0" w:color="C0C0C0"/>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5.</w:t>
            </w:r>
          </w:p>
        </w:tc>
        <w:tc>
          <w:tcPr>
            <w:tcW w:w="993"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3.249</w:t>
            </w:r>
          </w:p>
        </w:tc>
        <w:tc>
          <w:tcPr>
            <w:tcW w:w="439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Wykorzystanie danych z nowych źródeł administracyjnych Ministerstwa Finansów </w:t>
            </w:r>
            <w:r>
              <w:rPr>
                <w:rFonts w:ascii="Fira Sans" w:hAnsi="Fira Sans"/>
                <w:sz w:val="19"/>
                <w:szCs w:val="19"/>
              </w:rPr>
              <w:br/>
            </w:r>
            <w:r w:rsidRPr="006720A5">
              <w:rPr>
                <w:rFonts w:ascii="Fira Sans" w:hAnsi="Fira Sans"/>
                <w:sz w:val="19"/>
                <w:szCs w:val="19"/>
              </w:rPr>
              <w:t>w rocznych badaniach przedsiębiorstw niefinansowych</w:t>
            </w:r>
          </w:p>
        </w:tc>
        <w:tc>
          <w:tcPr>
            <w:tcW w:w="354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Przedsiębiorstw</w:t>
            </w:r>
          </w:p>
        </w:tc>
      </w:tr>
      <w:tr w:rsidR="00FF2341" w:rsidRPr="006720A5" w:rsidTr="00DB5202">
        <w:trPr>
          <w:gridAfter w:val="1"/>
          <w:wAfter w:w="1567" w:type="dxa"/>
          <w:trHeight w:val="972"/>
        </w:trPr>
        <w:tc>
          <w:tcPr>
            <w:tcW w:w="567" w:type="dxa"/>
            <w:tcBorders>
              <w:top w:val="single" w:sz="6" w:space="0" w:color="C0C0C0"/>
              <w:left w:val="single" w:sz="4" w:space="0" w:color="auto"/>
              <w:bottom w:val="single" w:sz="6" w:space="0" w:color="C0C0C0"/>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6.</w:t>
            </w:r>
          </w:p>
        </w:tc>
        <w:tc>
          <w:tcPr>
            <w:tcW w:w="993"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3.250</w:t>
            </w:r>
          </w:p>
        </w:tc>
        <w:tc>
          <w:tcPr>
            <w:tcW w:w="439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Wykorzystanie danych administracyjnych do estymacji wyników reprezentacyjnego badania mikroprzedsiębiorstw dla małych domen</w:t>
            </w:r>
          </w:p>
        </w:tc>
        <w:tc>
          <w:tcPr>
            <w:tcW w:w="3544" w:type="dxa"/>
            <w:tcBorders>
              <w:top w:val="single" w:sz="6" w:space="0" w:color="C0C0C0"/>
              <w:left w:val="single" w:sz="4" w:space="0" w:color="auto"/>
              <w:bottom w:val="single" w:sz="6" w:space="0" w:color="C0C0C0"/>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Przedsiębiorstw</w:t>
            </w:r>
          </w:p>
        </w:tc>
      </w:tr>
      <w:tr w:rsidR="00FF2341" w:rsidRPr="006720A5" w:rsidTr="00DB5202">
        <w:trPr>
          <w:gridAfter w:val="1"/>
          <w:wAfter w:w="1567" w:type="dxa"/>
          <w:trHeight w:val="331"/>
        </w:trPr>
        <w:tc>
          <w:tcPr>
            <w:tcW w:w="567" w:type="dxa"/>
            <w:tcBorders>
              <w:top w:val="single" w:sz="6" w:space="0" w:color="C0C0C0"/>
              <w:left w:val="single" w:sz="4" w:space="0" w:color="auto"/>
              <w:bottom w:val="single" w:sz="4" w:space="0" w:color="auto"/>
              <w:right w:val="single" w:sz="4" w:space="0" w:color="auto"/>
            </w:tcBorders>
          </w:tcPr>
          <w:p w:rsidR="00FF2341" w:rsidRPr="006720A5" w:rsidRDefault="00FF2341" w:rsidP="00DB5202">
            <w:pPr>
              <w:rPr>
                <w:rFonts w:ascii="Fira Sans" w:hAnsi="Fira Sans"/>
                <w:b/>
                <w:sz w:val="19"/>
                <w:szCs w:val="19"/>
              </w:rPr>
            </w:pPr>
            <w:r w:rsidRPr="006720A5">
              <w:rPr>
                <w:rFonts w:ascii="Fira Sans" w:hAnsi="Fira Sans"/>
                <w:sz w:val="19"/>
                <w:szCs w:val="19"/>
              </w:rPr>
              <w:t>7.</w:t>
            </w:r>
          </w:p>
        </w:tc>
        <w:tc>
          <w:tcPr>
            <w:tcW w:w="993" w:type="dxa"/>
            <w:tcBorders>
              <w:top w:val="single" w:sz="6" w:space="0" w:color="C0C0C0"/>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3.251</w:t>
            </w:r>
          </w:p>
        </w:tc>
        <w:tc>
          <w:tcPr>
            <w:tcW w:w="4394" w:type="dxa"/>
            <w:tcBorders>
              <w:top w:val="single" w:sz="6" w:space="0" w:color="C0C0C0"/>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Wpływ outsourcingu na produktywność przedsiębiorstw</w:t>
            </w:r>
          </w:p>
        </w:tc>
        <w:tc>
          <w:tcPr>
            <w:tcW w:w="3544" w:type="dxa"/>
            <w:tcBorders>
              <w:top w:val="single" w:sz="6" w:space="0" w:color="C0C0C0"/>
              <w:left w:val="single" w:sz="4" w:space="0" w:color="auto"/>
              <w:bottom w:val="single" w:sz="4" w:space="0" w:color="auto"/>
              <w:right w:val="single" w:sz="4" w:space="0" w:color="auto"/>
            </w:tcBorders>
            <w:tcMar>
              <w:top w:w="0" w:type="dxa"/>
              <w:left w:w="0" w:type="dxa"/>
              <w:bottom w:w="0" w:type="dxa"/>
              <w:right w:w="0" w:type="dxa"/>
            </w:tcMar>
          </w:tcPr>
          <w:p w:rsidR="00FF2341" w:rsidRPr="006720A5" w:rsidRDefault="00FF2341" w:rsidP="00DB5202">
            <w:pPr>
              <w:rPr>
                <w:rFonts w:ascii="Fira Sans" w:hAnsi="Fira Sans"/>
                <w:b/>
                <w:sz w:val="19"/>
                <w:szCs w:val="19"/>
              </w:rPr>
            </w:pPr>
            <w:r w:rsidRPr="006720A5">
              <w:rPr>
                <w:rFonts w:ascii="Fira Sans" w:hAnsi="Fira Sans"/>
                <w:sz w:val="19"/>
                <w:szCs w:val="19"/>
              </w:rPr>
              <w:t xml:space="preserve"> GUS - Departament Handlu i Usług</w:t>
            </w:r>
          </w:p>
        </w:tc>
      </w:tr>
    </w:tbl>
    <w:p w:rsidR="00FF2341" w:rsidRPr="006720A5" w:rsidRDefault="00FF2341" w:rsidP="00FF2341">
      <w:pPr>
        <w:rPr>
          <w:rFonts w:ascii="Fira Sans" w:hAnsi="Fira Sans"/>
          <w:sz w:val="19"/>
          <w:szCs w:val="19"/>
        </w:rPr>
      </w:pPr>
    </w:p>
    <w:p w:rsidR="00FF2341" w:rsidRDefault="00FF2341" w:rsidP="00FF2341"/>
    <w:p w:rsidR="00FF2341" w:rsidRDefault="00FF2341" w:rsidP="00FF2341">
      <w:pPr>
        <w:sectPr w:rsidR="00FF2341">
          <w:headerReference w:type="default" r:id="rId9"/>
          <w:footerReference w:type="default" r:id="rId10"/>
          <w:pgSz w:w="11905" w:h="16837"/>
          <w:pgMar w:top="850" w:right="850" w:bottom="850" w:left="850" w:header="850" w:footer="850" w:gutter="0"/>
          <w:cols w:space="708"/>
        </w:sect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3.010</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metodologii badań modułowych BAEL</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społeczna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nowe badanie</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1) Przygotowanie metodologii badań modułowych realizowanych przy Badaniu Aktywności Ekonomicznej Ludności zgodnie z wymogami Komisji Europejskiej oraz potrzebami krajowymi. Badania modułowe zostały uwzględnione w "Programie modułów badania siły roboczej na lata 2019-2021" i będą dotyczyły następujących tematów:</w:t>
                  </w:r>
                </w:p>
                <w:p w:rsidR="00FF2341" w:rsidRDefault="00FF2341" w:rsidP="00DB5202">
                  <w:pPr>
                    <w:rPr>
                      <w:rFonts w:ascii="Calibri" w:eastAsia="Calibri" w:hAnsi="Calibri" w:cs="Calibri"/>
                      <w:color w:val="000000"/>
                    </w:rPr>
                  </w:pPr>
                  <w:r>
                    <w:rPr>
                      <w:rFonts w:ascii="Calibri" w:eastAsia="Calibri" w:hAnsi="Calibri" w:cs="Calibri"/>
                      <w:color w:val="000000"/>
                    </w:rPr>
                    <w:t>2019 r. - "Badanie organizacji i rozkładu czasu pracy"</w:t>
                  </w:r>
                  <w:r>
                    <w:rPr>
                      <w:rFonts w:ascii="Calibri" w:eastAsia="Calibri" w:hAnsi="Calibri" w:cs="Calibri"/>
                      <w:color w:val="000000"/>
                    </w:rPr>
                    <w:br/>
                    <w:t>2020 r. - "Wypadki przy pracy i problemy zdrowotne związane z pracą"</w:t>
                  </w:r>
                  <w:r>
                    <w:rPr>
                      <w:rFonts w:ascii="Calibri" w:eastAsia="Calibri" w:hAnsi="Calibri" w:cs="Calibri"/>
                      <w:color w:val="000000"/>
                    </w:rPr>
                    <w:br/>
                    <w:t>2021 r. - "Sytuacja na rynku pracy migrantów i ich potomków"</w:t>
                  </w:r>
                  <w:r>
                    <w:rPr>
                      <w:rFonts w:ascii="Calibri" w:eastAsia="Calibri" w:hAnsi="Calibri" w:cs="Calibri"/>
                      <w:color w:val="000000"/>
                    </w:rPr>
                    <w:br/>
                    <w:t>2) Przygotowanie formularzy i objaśnień do badań modułowych.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zobowiązań wynikających z przepisów prawa krajowego</w:t>
                        </w:r>
                      </w:p>
                    </w:tc>
                  </w:tr>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zobowiązań wynikających z przepisów prawa międzynarodowego</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spacing w:line="1" w:lineRule="auto"/>
                  </w:pPr>
                  <w:bookmarkStart w:id="1" w:name="__bookmark_2"/>
                  <w:bookmarkEnd w:id="1"/>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Akty prawne międzynarodowe</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bookmarkStart w:id="2" w:name="__bookmark_3"/>
                        <w:bookmarkEnd w:id="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ROZPORZĄDZENIE WYKONAWCZE KOMISJI (UE) 2017/2384 z dnia 19 grudnia 2017 r. określające cechy techniczne modułu ad hoc na 2019 r. dotyczącego sposobu organizacji pracy i czasu pracy w odniesieniu do badania reprezentacyjnego dotyczącego siły roboczej przewidzianego w rozporządzeniu Rady (WE) nr 577/98, Dziennik Urzędowy Unii Europejskiej,</w:t>
                        </w: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ROZPORZĄDZENIE DELEGOWANE KOMISJI (UE) 2016/1851 z dnia 14 czerwca 2016 r. w sprawie przyjęcia programu modułów ad hoc obejmującego lata 2019, 2020 i 2021 do celów badania reprezentacyjnego dotyczącego siły roboczej przewidzianego w rozporządzeniu Rady (WE) nr 577/98, Dziennik Urzędowy Unii Europejskiej.</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Prace prowadzone przez jednostkę autorską w pierwszym etapie będą koncentrowały się na współpracy z Eurostatem, również poprzez bezpośrednie uczestnictwo w Grupie Roboczej Eurostatu dot. statystyki rynku pracy oraz w Grupach Zadaniowych dedykowanych konkretnym badaniom modułowym, w zakresie wypracowania metodologii, listy zmiennych, objaśnień i projektów regulacji do badań modułowych. Drugi etap prac obejmie zebranie i analizę potrzeb użytkowników krajowych w zakresie tematu objętego badaniem modułowym. Etap końcowy to przygotowanie formularzy, objaśnień, założeń do kontroli oraz makiet tablic wynikowych. </w:t>
                  </w:r>
                </w:p>
                <w:p w:rsidR="00FF2341" w:rsidRDefault="00FF2341" w:rsidP="00DB5202">
                  <w:pPr>
                    <w:jc w:val="both"/>
                    <w:rPr>
                      <w:rFonts w:ascii="Calibri" w:eastAsia="Calibri" w:hAnsi="Calibri" w:cs="Calibri"/>
                      <w:color w:val="000000"/>
                    </w:rPr>
                  </w:pPr>
                  <w:r>
                    <w:rPr>
                      <w:rFonts w:ascii="Calibri" w:eastAsia="Calibri" w:hAnsi="Calibri" w:cs="Calibri"/>
                      <w:color w:val="000000"/>
                    </w:rPr>
                    <w:t>Do zadań jednostek współautorskich należy zgłoszenie potrzeb reprezentowanych jednostek, pomoc w pracach związanych</w:t>
                  </w:r>
                  <w:r>
                    <w:rPr>
                      <w:rFonts w:ascii="Calibri" w:eastAsia="Calibri" w:hAnsi="Calibri" w:cs="Calibri"/>
                      <w:color w:val="000000"/>
                    </w:rPr>
                    <w:br/>
                    <w:t>z projektowaniem formularzy i objaśnień poprzez proponowanie sposobu uwzględnienia zgłoszonych potrzeb oraz ewentualnych korekt/uwag do opracowanych projektów.</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Styczeń 2017</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Marzec 2021</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narzędzia badawcze</w:t>
                        </w:r>
                      </w:p>
                    </w:tc>
                  </w:tr>
                  <w:tr w:rsidR="00FF2341" w:rsidTr="00DB5202">
                    <w:trPr>
                      <w:gridAfter w:val="1"/>
                      <w:wAfter w:w="360" w:type="dxa"/>
                    </w:trPr>
                    <w:tc>
                      <w:tcPr>
                        <w:tcW w:w="0" w:type="dxa"/>
                      </w:tcPr>
                      <w:p w:rsidR="00FF2341" w:rsidRDefault="00FF2341" w:rsidP="00DB5202">
                        <w:pPr>
                          <w:spacing w:line="1" w:lineRule="auto"/>
                        </w:pP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objaśnienia do ankiety</w:t>
                        </w: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lastRenderedPageBreak/>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algorytmy i założenia do obliczeń</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Marzec 2021</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2019 r. realizacja badania "Badanie organizacji i rozkładu czasu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Informacje uzupełniające</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Dla pozostałych modułów:</w:t>
                  </w:r>
                </w:p>
                <w:p w:rsidR="00FF2341" w:rsidRDefault="00FF2341" w:rsidP="00DB5202">
                  <w:pPr>
                    <w:jc w:val="both"/>
                    <w:rPr>
                      <w:rFonts w:ascii="Calibri" w:eastAsia="Calibri" w:hAnsi="Calibri" w:cs="Calibri"/>
                      <w:color w:val="000000"/>
                    </w:rPr>
                  </w:pPr>
                  <w:r>
                    <w:rPr>
                      <w:rFonts w:ascii="Calibri" w:eastAsia="Calibri" w:hAnsi="Calibri" w:cs="Calibri"/>
                      <w:color w:val="000000"/>
                    </w:rPr>
                    <w:t>2020 r. "Wypadki przy pracy i problemy zdrowotne związane z pracą": miesiąc zastosowania w statystyce - kwiecień; rok zastosowania w statystyce - 2020; forma zastosowania w statystyce - 2020 r. Realizacja badania "Wypadki przy pracy i problemy zdrowotne związane z pracą"</w:t>
                  </w:r>
                </w:p>
                <w:p w:rsidR="00FF2341" w:rsidRDefault="00FF2341" w:rsidP="00DB5202">
                  <w:pPr>
                    <w:jc w:val="both"/>
                    <w:rPr>
                      <w:rFonts w:ascii="Calibri" w:eastAsia="Calibri" w:hAnsi="Calibri" w:cs="Calibri"/>
                      <w:color w:val="000000"/>
                    </w:rPr>
                  </w:pPr>
                  <w:r>
                    <w:rPr>
                      <w:rFonts w:ascii="Calibri" w:eastAsia="Calibri" w:hAnsi="Calibri" w:cs="Calibri"/>
                      <w:color w:val="000000"/>
                    </w:rPr>
                    <w:t>2021 r. "Sytuacja na rynku pracy migrantów i ich potomków": miesiąc zastosowania w statystyce - kwiecień; rok zastosowania w statystyce - 2021; forma zastosowania w statystyce - 2021 r. Realizacja badania "Sytuacja na rynku pracy migrantów i ich potomków"</w:t>
                  </w: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GUS - Departament Rynku Pracy</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współautorska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Urząd Statystyczny w Gdańsku</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GUS - Departament Badań Demograficznych</w:t>
                        </w:r>
                      </w:p>
                    </w:tc>
                  </w:tr>
                </w:tbl>
                <w:p w:rsidR="00FF2341" w:rsidRDefault="00FF2341" w:rsidP="00DB5202">
                  <w:pPr>
                    <w:spacing w:line="1" w:lineRule="auto"/>
                  </w:pPr>
                </w:p>
              </w:tc>
            </w:tr>
          </w:tbl>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p w:rsidR="00FF2341" w:rsidRDefault="00FF2341" w:rsidP="00DB5202"/>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30</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3.240</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Satelitarny rachunek ochrony socjalnej</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społeczna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rachunki satelitarne</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Przygotowanie metodologii rachunku satelitarnego ochrony socjalnej, który przedstawi wielowymiarowy obraz wielkości i rodzajów świadczeń z tytułu ochrony socjalnej w powiązaniu z systemem rachunków narodowych.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spacing w:line="1" w:lineRule="auto"/>
                  </w:pPr>
                  <w:bookmarkStart w:id="3" w:name="__bookmark_15"/>
                  <w:bookmarkEnd w:id="3"/>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Zakres prac jednostki autorskiej: </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zdefiniowanie obszaru ochrony socjalnej w oparciu o metodologię ESA 2010 (europejski system rachunków narodowych i regionalnych),</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ustalenie źródeł danych statystycznych i danych administracyjnych spoza statystyki publicznej, szczegółowa analiza zrealizowanych świadczeń społecznych według rodzajów ryzyka i według obowiązujących klasyfikacji funkcjonalnych,</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przygotowanie makiet tablic oraz algorytmów ich naliczania,</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 xml:space="preserve">zebranie danych źródłowych i przypisanie ich do odpowiednich pozycji klasyfikacji, </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 xml:space="preserve">opracowanie szacunku rachunku satelitarnego ochrony socjalnej. </w:t>
                  </w:r>
                </w:p>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Zakres prac jednostek współautorskich: </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 xml:space="preserve">konsultacje merytoryczne w trakcie opracowywania metodologii, </w:t>
                  </w:r>
                </w:p>
                <w:p w:rsidR="00FF2341" w:rsidRDefault="00FF2341" w:rsidP="00DB5202">
                  <w:pPr>
                    <w:numPr>
                      <w:ilvl w:val="0"/>
                      <w:numId w:val="1"/>
                    </w:numPr>
                    <w:ind w:left="426"/>
                    <w:jc w:val="both"/>
                    <w:rPr>
                      <w:rFonts w:ascii="Calibri" w:eastAsia="Calibri" w:hAnsi="Calibri" w:cs="Calibri"/>
                      <w:color w:val="000000"/>
                    </w:rPr>
                  </w:pPr>
                  <w:r>
                    <w:rPr>
                      <w:rFonts w:ascii="Calibri" w:eastAsia="Calibri" w:hAnsi="Calibri" w:cs="Calibri"/>
                      <w:color w:val="000000"/>
                    </w:rPr>
                    <w:t>opiniowanie przeprowadzonego szacunku eksperymentalnego.</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Lipiec 2015</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2020</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raport</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2020</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satelitarnego rachunku ochrony socjalnej</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Informacje uzupełniające</w:t>
                  </w:r>
                </w:p>
              </w:tc>
            </w:tr>
          </w:tbl>
          <w:p w:rsidR="00FF2341" w:rsidRDefault="00FF2341" w:rsidP="00DB5202">
            <w:pPr>
              <w:spacing w:line="1" w:lineRule="auto"/>
            </w:pPr>
          </w:p>
        </w:tc>
      </w:tr>
    </w:tbl>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prace sukcesywne - stosownie do zmian w metodologii wprowadzanych przez UE i w polskich aktach prawnych</w:t>
                  </w: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Źródła danych</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Okres referencyjny danych</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2015</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4" w:name="__bookmark_20"/>
                        <w:bookmarkEnd w:id="4"/>
                        <w:r>
                          <w:rPr>
                            <w:rFonts w:ascii="Calibri" w:eastAsia="Calibri" w:hAnsi="Calibri" w:cs="Calibri"/>
                            <w:color w:val="000000"/>
                          </w:rPr>
                          <w:t>Urząd Statystyczny w Krakowie</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współautorska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5" w:name="__bookmark_21"/>
                        <w:bookmarkEnd w:id="5"/>
                        <w:r>
                          <w:rPr>
                            <w:rFonts w:ascii="Calibri" w:eastAsia="Calibri" w:hAnsi="Calibri" w:cs="Calibri"/>
                            <w:color w:val="000000"/>
                          </w:rPr>
                          <w:t>GUS - Departament Rachunków Narodowych</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GUS - Departament Badań Społecznych</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11"/>
          <w:footerReference w:type="default" r:id="rId12"/>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42</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3.246</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metody szacowania stanu i struktury ludności według rzeczywistego miejsca pobytu z uwzględnieniem kryterium przebywania i nieobecności 12 miesięcy i dłużej według podziału terytorialnego i siatki kilometrowej.</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społeczna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nowa metodyka realizacji badania</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Badanie możliwości opracowywania stanu i struktury ludności według faktycznego (rzeczywistego) miejsca pobytu, w tym z uwzględnieniem kryterium przebywania/nieobecności 12 miesięcy i dłużej według podziału terytorialnego – w oparciu o zasoby informacyjne Operatu do Badań Społecznych oraz bieżącą statystykę ruchu naturalnego. Badane będą również możliwości pozyskiwania danych o migracjach wewnętrznych i zagranicznych w oparciu o źródła administracyjne pozyskiwane dla potrzeb Operatu do Badań Społecznych.</w:t>
                  </w:r>
                </w:p>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Dodatkowo praca ma na celu zbadanie możliwości wykonania zobowiązań wynikających z rozporządzenia nr 862/2007 PE i Rady w sprawie statystyk wspólnotowych z zakresu migracji i ochrony międzynarodowej, jak również rozporządzenia PE i Rady (UE) nr 1260/2013 z dnia 20 listopada 2013 r. w sprawie statystyk europejskich w dziedzinie demografii po zmianie źródeł danych o migracjach. </w:t>
                  </w:r>
                </w:p>
                <w:p w:rsidR="00FF2341" w:rsidRDefault="00FF2341" w:rsidP="00DB5202">
                  <w:pPr>
                    <w:jc w:val="both"/>
                    <w:rPr>
                      <w:rFonts w:ascii="Calibri" w:eastAsia="Calibri" w:hAnsi="Calibri" w:cs="Calibri"/>
                      <w:color w:val="000000"/>
                    </w:rPr>
                  </w:pPr>
                  <w:r>
                    <w:rPr>
                      <w:rFonts w:ascii="Calibri" w:eastAsia="Calibri" w:hAnsi="Calibri" w:cs="Calibri"/>
                      <w:color w:val="000000"/>
                    </w:rPr>
                    <w:t>Jednocześnie wypracowana metoda pozwoli na zbadanie możliwości opracowywania stanu i struktury ludności na poziomie siatki kilometrowej – zgodnie z planowaną przez Eurostat nową koncepcją realizacji rocznych spisów ludności i mieszkań po 2021 r.</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zobowiązań wynikających z przepisów prawa międzynarodowego</w:t>
                        </w:r>
                      </w:p>
                    </w:tc>
                  </w:tr>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polityk / strategii / programów</w:t>
                        </w:r>
                      </w:p>
                    </w:tc>
                  </w:tr>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Akty prawne międzynarodowe</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bookmarkStart w:id="6" w:name="__bookmark_23"/>
                        <w:bookmarkEnd w:id="6"/>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rozporządzenie Parlamentu Europejskiego i Rady (UE) nr 1260/2013 z dnia 20 listopada 2013 r. w sprawie statystyk europejskich w dziedzinie demografii (Tekst mający znaczenie dla EOG), (Dz. Urz. UE L 330 z 10.12.2013, str. 39)</w:t>
                        </w: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w:t>
                        </w:r>
                      </w:p>
                    </w:tc>
                    <w:tc>
                      <w:tcPr>
                        <w:tcW w:w="9797"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rozporządzenie (WE) nr 862/2007 Parlamentu Europejskiego i Rady z dnia 11 lipca 2007 r. w sprawie statystyk Wspólnoty z zakresu migracji i ochrony międzynarodowej oraz uchylające rozporządzenie Rady (EWG) nr 311/76 w sprawie zestawienia statystyk dotyczących pracowników cudzoziemców (Tekst mający znaczenie dla EOG), (Dz. Urz. UE L 199 z 31.07.2007, str. 23)</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spacing w:line="1" w:lineRule="auto"/>
                  </w:pPr>
                  <w:bookmarkStart w:id="7" w:name="__bookmark_25"/>
                  <w:bookmarkEnd w:id="7"/>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numPr>
                      <w:ilvl w:val="0"/>
                      <w:numId w:val="3"/>
                    </w:numPr>
                    <w:ind w:left="426" w:hanging="426"/>
                    <w:jc w:val="both"/>
                    <w:rPr>
                      <w:rFonts w:ascii="Calibri" w:eastAsia="Calibri" w:hAnsi="Calibri" w:cs="Calibri"/>
                      <w:color w:val="000000"/>
                    </w:rPr>
                  </w:pPr>
                  <w:r>
                    <w:rPr>
                      <w:rFonts w:ascii="Calibri" w:eastAsia="Calibri" w:hAnsi="Calibri" w:cs="Calibri"/>
                      <w:color w:val="000000"/>
                    </w:rPr>
                    <w:t xml:space="preserve">Wypracowanie założeń metodologicznych pozwalających na prowadzenie statystyk migracji oraz szacunków ludności według faktycznego miejsca pobytu, w tym z uwzględnieniem kryterium przebywania/nieobecności 12 miesięcy i dłużej według poziomu terytorialnego, w tym z uwzględnieniem siatki kilometrowej. </w:t>
                  </w:r>
                </w:p>
                <w:p w:rsidR="00FF2341" w:rsidRDefault="00FF2341" w:rsidP="00DB5202">
                  <w:pPr>
                    <w:numPr>
                      <w:ilvl w:val="0"/>
                      <w:numId w:val="3"/>
                    </w:numPr>
                    <w:ind w:left="426" w:hanging="426"/>
                    <w:jc w:val="both"/>
                    <w:rPr>
                      <w:rFonts w:ascii="Calibri" w:eastAsia="Calibri" w:hAnsi="Calibri" w:cs="Calibri"/>
                      <w:color w:val="000000"/>
                    </w:rPr>
                  </w:pPr>
                  <w:r>
                    <w:rPr>
                      <w:rFonts w:ascii="Calibri" w:eastAsia="Calibri" w:hAnsi="Calibri" w:cs="Calibri"/>
                      <w:color w:val="000000"/>
                    </w:rPr>
                    <w:t>Wyniki pracy zadecydują o sposobie szacowania stanu i struktury ludności w następnych latach i ewentualnym odejściu od opracowywania bilansów ludności według dotychczasowej metody.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bl>
          <w:p w:rsidR="00FF2341" w:rsidRDefault="00FF2341" w:rsidP="00DB5202">
            <w:pPr>
              <w:spacing w:line="1" w:lineRule="auto"/>
            </w:pPr>
          </w:p>
        </w:tc>
      </w:tr>
    </w:tbl>
    <w:p w:rsidR="00FF2341" w:rsidRDefault="00FF2341" w:rsidP="00FF2341">
      <w:pPr>
        <w:sectPr w:rsidR="00FF2341">
          <w:headerReference w:type="default" r:id="rId13"/>
          <w:footerReference w:type="default" r:id="rId14"/>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Styczeń 2017</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2021</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raport</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2021</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wyników pracy w corocznych szacunkach migracji oraz stanu i struktury ludności na potrzeby krajowe i międzynarodowe.</w:t>
                  </w: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8" w:name="__bookmark_30"/>
                        <w:bookmarkEnd w:id="8"/>
                        <w:r>
                          <w:rPr>
                            <w:rFonts w:ascii="Calibri" w:eastAsia="Calibri" w:hAnsi="Calibri" w:cs="Calibri"/>
                            <w:color w:val="000000"/>
                          </w:rPr>
                          <w:t>GUS - Departament Badań Demograficznych</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współautorska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9" w:name="__bookmark_31"/>
                        <w:bookmarkEnd w:id="9"/>
                        <w:r>
                          <w:rPr>
                            <w:rFonts w:ascii="Calibri" w:eastAsia="Calibri" w:hAnsi="Calibri" w:cs="Calibri"/>
                            <w:color w:val="000000"/>
                          </w:rPr>
                          <w:t>Urząd Statystyczny w Olsztynie</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Urząd Statystyczny w Warszawie</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GUS - Departament Standardów i Rejestrów</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15"/>
          <w:footerReference w:type="default" r:id="rId16"/>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44</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3.248</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Rachunki eksperymentalne KLEMS dla gospodarki polskiej</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gospodarcza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integracja danych z różnych źródeł</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Rozwój rachunku KLEMS (rachunek produktywności gospodarki - nazwa pochodzi od symboli literowych, tradycyjnie używanych w zapisie formalnym dla wielkości ekonomicznych lub od pierwszych liter słów w języku angielskim K – Capital, L – </w:t>
                  </w:r>
                  <w:proofErr w:type="spellStart"/>
                  <w:r>
                    <w:rPr>
                      <w:rFonts w:ascii="Calibri" w:eastAsia="Calibri" w:hAnsi="Calibri" w:cs="Calibri"/>
                      <w:color w:val="000000"/>
                    </w:rPr>
                    <w:t>Labour</w:t>
                  </w:r>
                  <w:proofErr w:type="spellEnd"/>
                  <w:r>
                    <w:rPr>
                      <w:rFonts w:ascii="Calibri" w:eastAsia="Calibri" w:hAnsi="Calibri" w:cs="Calibri"/>
                      <w:color w:val="000000"/>
                    </w:rPr>
                    <w:t>, E – Energy, M – Materials, S – Services) w nawiązaniu do metod wykorzystywanych przez krajowe urzędy statystyczne i inne ośrodki badawcze w UE i na świecie.</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analiza ewolucji metodologii KLEMS na świecie;</w:t>
                  </w:r>
                </w:p>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 xml:space="preserve">produkt główny I: opracowanie metodologii oraz wykonanie dodatkowej dekompozycji wkładu godzin przepracowanych na dwa pod-czynniki, tj. „godziny na pracownika” oraz „pracujący”, dzięki czemu możliwe stałoby się bliższe przyjrzenie się przesłankom realnym stojącym za stanem koniunktury oraz wyjaśnienie niektórych przesłanek zmienności </w:t>
                  </w:r>
                  <w:proofErr w:type="spellStart"/>
                  <w:r>
                    <w:rPr>
                      <w:rFonts w:ascii="Calibri" w:eastAsia="Calibri" w:hAnsi="Calibri" w:cs="Calibri"/>
                      <w:color w:val="000000"/>
                    </w:rPr>
                    <w:t>Multifactor</w:t>
                  </w:r>
                  <w:proofErr w:type="spellEnd"/>
                  <w:r>
                    <w:rPr>
                      <w:rFonts w:ascii="Calibri" w:eastAsia="Calibri" w:hAnsi="Calibri" w:cs="Calibri"/>
                      <w:color w:val="000000"/>
                    </w:rPr>
                    <w:t xml:space="preserve"> Productivity (MFP);</w:t>
                  </w:r>
                </w:p>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produkt główny II: zbadanie możliwości wykonania i wykonanie dekompozycji produkcji globalnej, a nie tylko wartości dodanej brutto, z opcją egzogenicznego wykorzystania danych dotyczących zużycia pośredniego;</w:t>
                  </w:r>
                </w:p>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produkt główny III: opracowanie metodologii i wykonanie obliczeń w ramach rachunku produktywności KLEMS dla regionów NTS2 (województwa), co umożliwi dokonywanie porównań regionalnych, a nie tylko międzynarodowych;</w:t>
                  </w:r>
                </w:p>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wykonanie analiz porównawczych z metodologią dekompozycji stosowanej przez OECD;</w:t>
                  </w:r>
                </w:p>
                <w:p w:rsidR="00FF2341" w:rsidRDefault="00FF2341" w:rsidP="00DB5202">
                  <w:pPr>
                    <w:numPr>
                      <w:ilvl w:val="0"/>
                      <w:numId w:val="4"/>
                    </w:numPr>
                    <w:jc w:val="both"/>
                    <w:rPr>
                      <w:rFonts w:ascii="Calibri" w:eastAsia="Calibri" w:hAnsi="Calibri" w:cs="Calibri"/>
                      <w:color w:val="000000"/>
                    </w:rPr>
                  </w:pPr>
                  <w:r>
                    <w:rPr>
                      <w:rFonts w:ascii="Calibri" w:eastAsia="Calibri" w:hAnsi="Calibri" w:cs="Calibri"/>
                      <w:color w:val="000000"/>
                    </w:rPr>
                    <w:t>produkt końcowy: opracowanie produktu analitycznego w postaci naukowego wydawnictwa książkowego podsumowującego prace nad rachunkiem KLEMS.</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Lipiec 2017</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Czerwiec 2020</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raport</w:t>
                        </w:r>
                      </w:p>
                    </w:tc>
                  </w:tr>
                  <w:tr w:rsidR="00FF2341" w:rsidTr="00DB5202">
                    <w:trPr>
                      <w:gridAfter w:val="1"/>
                      <w:wAfter w:w="360" w:type="dxa"/>
                    </w:trPr>
                    <w:tc>
                      <w:tcPr>
                        <w:tcW w:w="0" w:type="dxa"/>
                      </w:tcPr>
                      <w:p w:rsidR="00FF2341" w:rsidRDefault="00FF2341" w:rsidP="00DB5202">
                        <w:pPr>
                          <w:spacing w:line="1" w:lineRule="auto"/>
                        </w:pPr>
                      </w:p>
                    </w:tc>
                  </w:tr>
                  <w:tr w:rsidR="00FF2341" w:rsidTr="00DB5202">
                    <w:trPr>
                      <w:gridAfter w:val="1"/>
                      <w:wAfter w:w="360" w:type="dxa"/>
                    </w:trPr>
                    <w:tc>
                      <w:tcPr>
                        <w:tcW w:w="0" w:type="dxa"/>
                      </w:tcPr>
                      <w:p w:rsidR="00FF2341" w:rsidRDefault="00FF2341" w:rsidP="00DB5202">
                        <w:pPr>
                          <w:spacing w:line="1" w:lineRule="auto"/>
                        </w:pP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opis metodologii badania</w:t>
                        </w: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metodyka realizacji badania</w:t>
                        </w:r>
                      </w:p>
                    </w:tc>
                  </w:tr>
                  <w:tr w:rsidR="00FF2341" w:rsidTr="00DB5202">
                    <w:trPr>
                      <w:gridAfter w:val="1"/>
                      <w:wAfter w:w="360" w:type="dxa"/>
                    </w:trPr>
                    <w:tc>
                      <w:tcPr>
                        <w:tcW w:w="0" w:type="dxa"/>
                      </w:tcPr>
                      <w:p w:rsidR="00FF2341" w:rsidRDefault="00FF2341" w:rsidP="00DB5202">
                        <w:pPr>
                          <w:spacing w:line="1" w:lineRule="auto"/>
                        </w:pPr>
                      </w:p>
                    </w:tc>
                  </w:tr>
                  <w:tr w:rsidR="00FF2341" w:rsidTr="00DB5202">
                    <w:trPr>
                      <w:gridAfter w:val="1"/>
                      <w:wAfter w:w="360" w:type="dxa"/>
                    </w:trPr>
                    <w:tc>
                      <w:tcPr>
                        <w:tcW w:w="0" w:type="dxa"/>
                      </w:tcPr>
                      <w:p w:rsidR="00FF2341" w:rsidRDefault="00FF2341" w:rsidP="00DB5202">
                        <w:pPr>
                          <w:spacing w:line="1" w:lineRule="auto"/>
                        </w:pPr>
                      </w:p>
                    </w:tc>
                  </w:tr>
                  <w:tr w:rsidR="00FF2341" w:rsidTr="00DB5202">
                    <w:trPr>
                      <w:gridAfter w:val="1"/>
                      <w:wAfter w:w="360" w:type="dxa"/>
                    </w:trPr>
                    <w:tc>
                      <w:tcPr>
                        <w:tcW w:w="0" w:type="dxa"/>
                      </w:tcPr>
                      <w:p w:rsidR="00FF2341" w:rsidRDefault="00FF2341" w:rsidP="00DB5202">
                        <w:pPr>
                          <w:spacing w:line="1" w:lineRule="auto"/>
                        </w:pPr>
                      </w:p>
                    </w:tc>
                  </w:tr>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algorytmy i założenia do obliczeń</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Czerwiec 2020</w:t>
                  </w:r>
                </w:p>
              </w:tc>
            </w:tr>
          </w:tbl>
          <w:p w:rsidR="00FF2341" w:rsidRDefault="00FF2341" w:rsidP="00DB5202">
            <w:pPr>
              <w:spacing w:line="1" w:lineRule="auto"/>
            </w:pPr>
          </w:p>
        </w:tc>
      </w:tr>
    </w:tbl>
    <w:p w:rsidR="00FF2341" w:rsidRDefault="00FF2341" w:rsidP="00FF2341">
      <w:pPr>
        <w:sectPr w:rsidR="00FF2341">
          <w:headerReference w:type="default" r:id="rId17"/>
          <w:footerReference w:type="default" r:id="rId18"/>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Wynikiem pracy będzie naukowe wydawnictwo książkowe, przygotowane m.in. na podstawie trzech raportów pośrednich, zawierające opracowaną metodologię, dalsze analizy porównawcze (w tym z metodologią dekompozycji stosowaną przez OECD) oraz inne wnioski analityczne.</w:t>
                  </w:r>
                </w:p>
                <w:p w:rsidR="00FF2341" w:rsidRDefault="00FF2341" w:rsidP="00DB5202">
                  <w:pPr>
                    <w:jc w:val="both"/>
                    <w:rPr>
                      <w:rFonts w:ascii="Calibri" w:eastAsia="Calibri" w:hAnsi="Calibri" w:cs="Calibri"/>
                      <w:color w:val="000000"/>
                    </w:rPr>
                  </w:pPr>
                  <w:r>
                    <w:rPr>
                      <w:rFonts w:ascii="Calibri" w:eastAsia="Calibri" w:hAnsi="Calibri" w:cs="Calibri"/>
                      <w:color w:val="000000"/>
                    </w:rPr>
                    <w:t>Praca metodologiczna umożliwi przeprowadzenie pełnej analizy produktywności gospodarki polskiej w zakresie nowej metodologii opracowanej w ramach rachunku KLEMS w oparciu o doświadczenia światowe i krajowe badania naukowe oraz sformułowanie standardowego badania statystycznego w tym zakresie na lata następne.</w:t>
                  </w: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10" w:name="__bookmark_40"/>
                        <w:bookmarkEnd w:id="10"/>
                        <w:r>
                          <w:rPr>
                            <w:rFonts w:ascii="Calibri" w:eastAsia="Calibri" w:hAnsi="Calibri" w:cs="Calibri"/>
                            <w:color w:val="000000"/>
                          </w:rPr>
                          <w:t>GUS - Departament Studiów Makroekonomicznych i Finansów</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19"/>
          <w:footerReference w:type="default" r:id="rId20"/>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45</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3.249</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danych z nowych źródeł administracyjnych Ministerstwa Finansów w rocznych badaniach przedsiębiorstw niefinansowych</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operaty</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nowych źródeł danych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Celem pracy jest zbadanie możliwości wykorzystania nowych źródeł administracyjnych Ministerstwa Finansów do dalszej poprawy jakości danych opracowywanych w zakresie wyników finansowych sektora przedsiębiorstw.</w:t>
                  </w:r>
                </w:p>
                <w:p w:rsidR="00FF2341" w:rsidRDefault="00FF2341" w:rsidP="00DB5202">
                  <w:pPr>
                    <w:jc w:val="both"/>
                    <w:rPr>
                      <w:rFonts w:ascii="Calibri" w:eastAsia="Calibri" w:hAnsi="Calibri" w:cs="Calibri"/>
                      <w:color w:val="000000"/>
                    </w:rPr>
                  </w:pPr>
                  <w:r>
                    <w:rPr>
                      <w:rFonts w:ascii="Calibri" w:eastAsia="Calibri" w:hAnsi="Calibri" w:cs="Calibri"/>
                      <w:color w:val="000000"/>
                    </w:rPr>
                    <w:t>Dokonany zostanie opis i przeprowadzona analiza możliwości wykorzystywania w rocznych badaniach przedsiębiorstw niefinansowych nowowprowadzonych deklaracji podatkowych:</w:t>
                  </w:r>
                </w:p>
                <w:p w:rsidR="00FF2341" w:rsidRDefault="00FF2341" w:rsidP="00DB5202">
                  <w:pPr>
                    <w:jc w:val="both"/>
                    <w:rPr>
                      <w:rFonts w:ascii="Calibri" w:eastAsia="Calibri" w:hAnsi="Calibri" w:cs="Calibri"/>
                      <w:color w:val="000000"/>
                    </w:rPr>
                  </w:pPr>
                  <w:r>
                    <w:rPr>
                      <w:rFonts w:ascii="Calibri" w:eastAsia="Calibri" w:hAnsi="Calibri" w:cs="Calibri"/>
                      <w:color w:val="000000"/>
                    </w:rPr>
                    <w:t>CIT/TP – uproszczone sprawozdanie w sprawie transakcji lub innych zdarzeń zachodzących pomiędzy podmiotami powiązanymi;</w:t>
                  </w:r>
                </w:p>
                <w:p w:rsidR="00FF2341" w:rsidRDefault="00FF2341" w:rsidP="00DB5202">
                  <w:pPr>
                    <w:jc w:val="both"/>
                    <w:rPr>
                      <w:rFonts w:ascii="Calibri" w:eastAsia="Calibri" w:hAnsi="Calibri" w:cs="Calibri"/>
                      <w:color w:val="000000"/>
                    </w:rPr>
                  </w:pPr>
                  <w:r>
                    <w:rPr>
                      <w:rFonts w:ascii="Calibri" w:eastAsia="Calibri" w:hAnsi="Calibri" w:cs="Calibri"/>
                      <w:color w:val="000000"/>
                    </w:rPr>
                    <w:t>CIT/CFC – zeznanie o wysokości osiągniętego dochodu z zagranicznej spółki kontrolowanej przez podatnika podatku dochodowego od osób prawnych;</w:t>
                  </w:r>
                </w:p>
                <w:p w:rsidR="00FF2341" w:rsidRDefault="00FF2341" w:rsidP="00DB5202">
                  <w:pPr>
                    <w:jc w:val="both"/>
                    <w:rPr>
                      <w:rFonts w:ascii="Calibri" w:eastAsia="Calibri" w:hAnsi="Calibri" w:cs="Calibri"/>
                      <w:color w:val="000000"/>
                    </w:rPr>
                  </w:pPr>
                  <w:r>
                    <w:rPr>
                      <w:rFonts w:ascii="Calibri" w:eastAsia="Calibri" w:hAnsi="Calibri" w:cs="Calibri"/>
                      <w:color w:val="000000"/>
                    </w:rPr>
                    <w:t>CBC-P – powiadomienie w zakresie obowiązku przekazania informacji o grupie podmiotów;</w:t>
                  </w:r>
                </w:p>
                <w:p w:rsidR="00FF2341" w:rsidRDefault="00FF2341" w:rsidP="00DB5202">
                  <w:pPr>
                    <w:jc w:val="both"/>
                    <w:rPr>
                      <w:rFonts w:ascii="Calibri" w:eastAsia="Calibri" w:hAnsi="Calibri" w:cs="Calibri"/>
                      <w:color w:val="000000"/>
                    </w:rPr>
                  </w:pPr>
                  <w:r>
                    <w:rPr>
                      <w:rFonts w:ascii="Calibri" w:eastAsia="Calibri" w:hAnsi="Calibri" w:cs="Calibri"/>
                      <w:color w:val="000000"/>
                    </w:rPr>
                    <w:t>JPK_VAT – jednolity plik kontrolny VAT.</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Oczekuje się, że źródło będzie wykorzystywane przy opracowaniu danych dla grup przedsiębiorstw, przedsiębiorstw składających się z wielu jednostek prawnych oraz podmiotów powiązanych zgodnie z wymogami europejskimi.</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spacing w:line="1" w:lineRule="auto"/>
                  </w:pPr>
                  <w:bookmarkStart w:id="11" w:name="__bookmark_45"/>
                  <w:bookmarkEnd w:id="11"/>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Analiza możliwości wykorzystywania w rocznych badaniach przedsiębiorstw niefinansowych nowowprowadzonych deklaracji podatkowych:</w:t>
                  </w:r>
                </w:p>
                <w:p w:rsidR="00FF2341" w:rsidRDefault="00FF2341" w:rsidP="00DB5202">
                  <w:pPr>
                    <w:jc w:val="both"/>
                    <w:rPr>
                      <w:rFonts w:ascii="Calibri" w:eastAsia="Calibri" w:hAnsi="Calibri" w:cs="Calibri"/>
                      <w:color w:val="000000"/>
                    </w:rPr>
                  </w:pPr>
                  <w:r>
                    <w:rPr>
                      <w:rFonts w:ascii="Calibri" w:eastAsia="Calibri" w:hAnsi="Calibri" w:cs="Calibri"/>
                      <w:color w:val="000000"/>
                    </w:rPr>
                    <w:t xml:space="preserve"> CIT/TP – uproszczone sprawozdanie w sprawie transakcji lub innych zdarzeń zachodzących pomiędzy podmiotami powiązanymi;</w:t>
                  </w:r>
                </w:p>
                <w:p w:rsidR="00FF2341" w:rsidRDefault="00FF2341" w:rsidP="00DB5202">
                  <w:pPr>
                    <w:jc w:val="both"/>
                    <w:rPr>
                      <w:rFonts w:ascii="Calibri" w:eastAsia="Calibri" w:hAnsi="Calibri" w:cs="Calibri"/>
                      <w:color w:val="000000"/>
                    </w:rPr>
                  </w:pPr>
                  <w:r>
                    <w:rPr>
                      <w:rFonts w:ascii="Calibri" w:eastAsia="Calibri" w:hAnsi="Calibri" w:cs="Calibri"/>
                      <w:color w:val="000000"/>
                    </w:rPr>
                    <w:t>CIT/CFC – zeznanie o wysokości osiągniętego dochodu z zagranicznej spółki kontrolowanej przez podatnika podatku dochodowego od osób prawnych;</w:t>
                  </w:r>
                </w:p>
                <w:p w:rsidR="00FF2341" w:rsidRDefault="00FF2341" w:rsidP="00DB5202">
                  <w:pPr>
                    <w:jc w:val="both"/>
                    <w:rPr>
                      <w:rFonts w:ascii="Calibri" w:eastAsia="Calibri" w:hAnsi="Calibri" w:cs="Calibri"/>
                      <w:color w:val="000000"/>
                    </w:rPr>
                  </w:pPr>
                  <w:r>
                    <w:rPr>
                      <w:rFonts w:ascii="Calibri" w:eastAsia="Calibri" w:hAnsi="Calibri" w:cs="Calibri"/>
                      <w:color w:val="000000"/>
                    </w:rPr>
                    <w:t>CBC-P – powiadomienie w zakresie obowiązku przekazania informacji o grupie podmiotów;</w:t>
                  </w:r>
                </w:p>
                <w:p w:rsidR="00FF2341" w:rsidRDefault="00FF2341" w:rsidP="00DB5202">
                  <w:pPr>
                    <w:jc w:val="both"/>
                    <w:rPr>
                      <w:rFonts w:ascii="Calibri" w:eastAsia="Calibri" w:hAnsi="Calibri" w:cs="Calibri"/>
                      <w:color w:val="000000"/>
                    </w:rPr>
                  </w:pPr>
                  <w:r>
                    <w:rPr>
                      <w:rFonts w:ascii="Calibri" w:eastAsia="Calibri" w:hAnsi="Calibri" w:cs="Calibri"/>
                      <w:color w:val="000000"/>
                    </w:rPr>
                    <w:t>JPK_VAT – jednolity plik kontrolny VAT.</w:t>
                  </w:r>
                </w:p>
                <w:p w:rsidR="00FF2341" w:rsidRDefault="00FF2341" w:rsidP="00DB5202">
                  <w:pPr>
                    <w:jc w:val="both"/>
                    <w:rPr>
                      <w:rFonts w:ascii="Calibri" w:eastAsia="Calibri" w:hAnsi="Calibri" w:cs="Calibri"/>
                      <w:color w:val="000000"/>
                    </w:rPr>
                  </w:pPr>
                  <w:r>
                    <w:rPr>
                      <w:rFonts w:ascii="Calibri" w:eastAsia="Calibri" w:hAnsi="Calibri" w:cs="Calibri"/>
                      <w:color w:val="000000"/>
                    </w:rPr>
                    <w:t>W pracy metodologicznej zostaną opisane wymienione źródła oraz przedstawiona propozycja ich wykorzystania w rocznych badaniach przedsiębiorstw niefinansowych.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Kwiecień 2018</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Czerwiec 2020</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raport</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21"/>
          <w:footerReference w:type="default" r:id="rId22"/>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Czerwiec 2020</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Raport z realizacji pracy metodologicznej zawierający opis źródeł danych, w tym zakres informacyjny, zakres podmiotowy, częstotliwość oraz analizę i ocenę możliwości ich pozyskiwania i wykorzystywania w rocznych badaniach przedsiębiorstw niefinansowych.</w:t>
                  </w: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Źródła danych</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Nowe źródła danych - inne</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Dane z bazy danych Ministerstwa Finansów pochodzące z deklaracji podatkowych CIT/TP, CIT/CFC, CBC-P oraz JPK_VAT.</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Wyniki badań</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pPr>
                              <w:bookmarkStart w:id="12" w:name="__bookmark_49"/>
                              <w:bookmarkEnd w:id="12"/>
                              <w:r>
                                <w:rPr>
                                  <w:rFonts w:ascii="Calibri" w:eastAsia="Calibri" w:hAnsi="Calibri" w:cs="Calibri"/>
                                  <w:color w:val="000000"/>
                                </w:rPr>
                                <w:t>1.61.05 Roczne badanie działalności gospodarczej przedsiębiorstw</w:t>
                              </w:r>
                            </w:p>
                          </w:tc>
                        </w:tr>
                        <w:tr w:rsidR="00FF2341" w:rsidTr="00DB5202">
                          <w:tc>
                            <w:tcPr>
                              <w:tcW w:w="10205"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1.61.12 Grupy przedsiębiorstw</w:t>
                              </w:r>
                            </w:p>
                          </w:tc>
                        </w:tr>
                        <w:tr w:rsidR="00FF2341" w:rsidTr="00DB5202">
                          <w:tc>
                            <w:tcPr>
                              <w:tcW w:w="10205"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1.61.15 Podmioty z kapitałem zagranicznym</w:t>
                              </w:r>
                            </w:p>
                          </w:tc>
                        </w:tr>
                        <w:tr w:rsidR="00FF2341" w:rsidTr="00DB5202">
                          <w:tc>
                            <w:tcPr>
                              <w:tcW w:w="10205"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1.61.16 Działalność podmiotów posiadających udziały w jednostkach z siedzibą za granicą</w:t>
                              </w:r>
                            </w:p>
                          </w:tc>
                        </w:tr>
                      </w:tbl>
                      <w:p w:rsidR="00FF2341" w:rsidRDefault="00FF2341" w:rsidP="00DB5202">
                        <w:pPr>
                          <w:spacing w:line="1" w:lineRule="auto"/>
                        </w:pP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13" w:name="__bookmark_50"/>
                        <w:bookmarkEnd w:id="13"/>
                        <w:r>
                          <w:rPr>
                            <w:rFonts w:ascii="Calibri" w:eastAsia="Calibri" w:hAnsi="Calibri" w:cs="Calibri"/>
                            <w:color w:val="000000"/>
                          </w:rPr>
                          <w:t>GUS - Departament Przedsiębiorstw</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23"/>
          <w:footerReference w:type="default" r:id="rId24"/>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46</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3.250</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danych administracyjnych do estymacji wyników reprezentacyjnego badania mikroprzedsiębiorstw dla małych domen</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gospodarcza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nowych źródeł danych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Wykorzystanie danych pochodzących ze źródeł administracyjnych do poprawy jakości estymowanych zmiennych z badania reprezentacyjnego prowadzonego na sprawozdaniu SP-3 Sprawozdanie o działalności gospodarczej przedsiębiorstw. Weryfikacja możliwości zastąpienia niektórych informacji pozyskiwanych na sprawozdaniu poprzez bezpośrednie wykorzystanie danych administracyjnych. Redukcja obowiązków sprawozdawczych.</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przez jednostkę autorską GUS metodologii wykorzystania administracyjnych źródeł danych w celu osiągnięcia zamierzonych rezultatów pracy metodologicznej. Praktyczne wdrożenie przez jednostkę współautorską zaproponowanych przez jednostkę autorską rozwiązań. Przygotowanie raportu z przeprowadzonych działań.</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Lipiec 2018</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2019</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raport</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2019</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danych dla podstawowych zmiennych z badania SP-3 według przekrojów możliwych do estymacji, wyznaczonych w trakcie pracy metodologicznej.</w:t>
                  </w: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Źródła danych</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Istniejące źródła danych</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bookmarkStart w:id="14" w:name="__bookmark_57"/>
                              <w:bookmarkEnd w:id="14"/>
                              <w:r>
                                <w:rPr>
                                  <w:rFonts w:ascii="Calibri" w:eastAsia="Calibri" w:hAnsi="Calibri" w:cs="Calibri"/>
                                  <w:color w:val="000000"/>
                                </w:rPr>
                                <w:t>Sprawozdanie o działalności gospodarczej przedsiębiorstw</w:t>
                              </w:r>
                            </w:p>
                          </w:tc>
                        </w:tr>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t>Baza danych o podatnikach podatku od towarów i usług</w:t>
                              </w:r>
                            </w:p>
                          </w:tc>
                        </w:tr>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t>Centralny Rejestr Podmiotów - Krajowa Ewidencja Podatników</w:t>
                              </w:r>
                            </w:p>
                          </w:tc>
                        </w:tr>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t>System Informacji Podatkowych - Baza danych o podatnikach podatku dochodowego od osób prawnych</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25"/>
          <w:footerReference w:type="default" r:id="rId26"/>
          <w:pgSz w:w="11905" w:h="16837"/>
          <w:pgMar w:top="850" w:right="850" w:bottom="850" w:left="850" w:header="850" w:footer="850" w:gutter="0"/>
          <w:cols w:space="708"/>
        </w:sect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lastRenderedPageBreak/>
                                <w:t>System Informacji Podatkowych - Baza danych o podatnikach podatku dochodowego od osób fizycznych</w:t>
                              </w:r>
                            </w:p>
                          </w:tc>
                        </w:tr>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t>Kompleksowy System Informatyczny ZUS - Centralny Rejestr Ubezpieczonych</w:t>
                              </w:r>
                            </w:p>
                          </w:tc>
                        </w:tr>
                        <w:tr w:rsidR="00FF2341" w:rsidTr="00DB5202">
                          <w:tc>
                            <w:tcPr>
                              <w:tcW w:w="10205" w:type="dxa"/>
                              <w:tcMar>
                                <w:top w:w="0" w:type="dxa"/>
                                <w:left w:w="0" w:type="dxa"/>
                                <w:bottom w:w="0" w:type="dxa"/>
                                <w:right w:w="0" w:type="dxa"/>
                              </w:tcMar>
                            </w:tcPr>
                            <w:p w:rsidR="00FF2341" w:rsidRDefault="00FF2341" w:rsidP="00DB5202">
                              <w:pPr>
                                <w:numPr>
                                  <w:ilvl w:val="0"/>
                                  <w:numId w:val="5"/>
                                </w:numPr>
                                <w:ind w:left="426" w:hanging="426"/>
                                <w:jc w:val="both"/>
                                <w:rPr>
                                  <w:rFonts w:ascii="Calibri" w:eastAsia="Calibri" w:hAnsi="Calibri" w:cs="Calibri"/>
                                  <w:color w:val="000000"/>
                                </w:rPr>
                              </w:pPr>
                              <w:r>
                                <w:rPr>
                                  <w:rFonts w:ascii="Calibri" w:eastAsia="Calibri" w:hAnsi="Calibri" w:cs="Calibri"/>
                                  <w:color w:val="000000"/>
                                </w:rPr>
                                <w:t>Kompleksowy System Informatyczny ZUS - Centralny Rejestr Płatników Składek</w:t>
                              </w:r>
                            </w:p>
                          </w:tc>
                        </w:tr>
                      </w:tbl>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Okres referencyjny danych</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2016</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15" w:name="__bookmark_60"/>
                        <w:bookmarkEnd w:id="15"/>
                        <w:r>
                          <w:rPr>
                            <w:rFonts w:ascii="Calibri" w:eastAsia="Calibri" w:hAnsi="Calibri" w:cs="Calibri"/>
                            <w:color w:val="000000"/>
                          </w:rPr>
                          <w:t>GUS - Departament Przedsiębiorstw</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współautorska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16" w:name="__bookmark_61"/>
                        <w:bookmarkEnd w:id="16"/>
                        <w:r>
                          <w:rPr>
                            <w:rFonts w:ascii="Calibri" w:eastAsia="Calibri" w:hAnsi="Calibri" w:cs="Calibri"/>
                            <w:color w:val="000000"/>
                          </w:rPr>
                          <w:t>Urząd Statystyczny w Łodzi</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Pr>
        <w:sectPr w:rsidR="00FF2341">
          <w:headerReference w:type="default" r:id="rId27"/>
          <w:footerReference w:type="default" r:id="rId28"/>
          <w:pgSz w:w="11905" w:h="16837"/>
          <w:pgMar w:top="850" w:right="850" w:bottom="850" w:left="850" w:header="850" w:footer="850" w:gutter="0"/>
          <w:cols w:space="708"/>
        </w:sectPr>
      </w:pPr>
      <w:bookmarkStart w:id="17" w:name="_GoBack"/>
      <w:bookmarkEnd w:id="17"/>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530"/>
              <w:gridCol w:w="8675"/>
            </w:tblGrid>
            <w:tr w:rsidR="00FF2341" w:rsidTr="00DB5202">
              <w:trPr>
                <w:trHeight w:val="342"/>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PRACA METODOLOGICZNA</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Id:</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49</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Symbol:</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3.251</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Tytuł:</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Wpływ outsourcingu na produktywność przedsiębiorstw</w:t>
                  </w:r>
                </w:p>
              </w:tc>
            </w:tr>
            <w:tr w:rsidR="00FF2341" w:rsidTr="00DB5202">
              <w:tc>
                <w:tcPr>
                  <w:tcW w:w="1530" w:type="dxa"/>
                  <w:tcMar>
                    <w:top w:w="0" w:type="dxa"/>
                    <w:left w:w="0" w:type="dxa"/>
                    <w:bottom w:w="0" w:type="dxa"/>
                    <w:right w:w="0" w:type="dxa"/>
                  </w:tcMar>
                </w:tcPr>
                <w:p w:rsidR="00FF2341" w:rsidRDefault="00FF2341" w:rsidP="00DB5202">
                  <w:pPr>
                    <w:rPr>
                      <w:rFonts w:ascii="Calibri" w:eastAsia="Calibri" w:hAnsi="Calibri" w:cs="Calibri"/>
                      <w:b/>
                      <w:bCs/>
                      <w:color w:val="000000"/>
                      <w:sz w:val="24"/>
                      <w:szCs w:val="24"/>
                    </w:rPr>
                  </w:pPr>
                  <w:r>
                    <w:rPr>
                      <w:rFonts w:ascii="Calibri" w:eastAsia="Calibri" w:hAnsi="Calibri" w:cs="Calibri"/>
                      <w:b/>
                      <w:bCs/>
                      <w:color w:val="000000"/>
                      <w:sz w:val="24"/>
                      <w:szCs w:val="24"/>
                    </w:rPr>
                    <w:t>Obszar:</w:t>
                  </w:r>
                </w:p>
              </w:tc>
              <w:tc>
                <w:tcPr>
                  <w:tcW w:w="8675" w:type="dxa"/>
                  <w:tcMar>
                    <w:top w:w="0" w:type="dxa"/>
                    <w:left w:w="0" w:type="dxa"/>
                    <w:bottom w:w="0" w:type="dxa"/>
                    <w:right w:w="0" w:type="dxa"/>
                  </w:tcMar>
                  <w:vAlign w:val="center"/>
                </w:tcPr>
                <w:p w:rsidR="00FF2341" w:rsidRDefault="00FF2341" w:rsidP="00DB5202">
                  <w:pPr>
                    <w:jc w:val="both"/>
                    <w:rPr>
                      <w:rFonts w:ascii="Calibri" w:eastAsia="Calibri" w:hAnsi="Calibri" w:cs="Calibri"/>
                      <w:color w:val="000000"/>
                    </w:rPr>
                  </w:pPr>
                  <w:r>
                    <w:rPr>
                      <w:rFonts w:ascii="Calibri" w:eastAsia="Calibri" w:hAnsi="Calibri" w:cs="Calibri"/>
                      <w:color w:val="000000"/>
                    </w:rPr>
                    <w:t>statystyka gospodarcza</w:t>
                  </w:r>
                </w:p>
              </w:tc>
            </w:tr>
          </w:tbl>
          <w:p w:rsidR="00FF2341" w:rsidRDefault="00FF2341" w:rsidP="00DB5202">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Charakterystyka</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Cel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szacunki</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Opis celu prowadzenia pracy</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Głównym celem pracy będzie opracowanie metodyki szacowania wpływu zjawiska outsourcingu usług na produktywność przedsiębiorstw w Polsce, tj. ustalenie zależności występujących pomiędzy zmianami w zakupach usług obcych a zmianami w całkowitej produktywności czynników produkcji.</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Uzasadnienie użyteczności - realizacja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r>
                          <w:rPr>
                            <w:rFonts w:ascii="Calibri" w:eastAsia="Calibri" w:hAnsi="Calibri" w:cs="Calibri"/>
                            <w:color w:val="000000"/>
                          </w:rPr>
                          <w:t>potrzeb użytkowników</w:t>
                        </w:r>
                      </w:p>
                    </w:tc>
                  </w:tr>
                  <w:tr w:rsidR="00FF2341" w:rsidTr="00DB5202">
                    <w:trPr>
                      <w:trHeight w:val="244"/>
                    </w:trPr>
                    <w:tc>
                      <w:tcPr>
                        <w:tcW w:w="10205" w:type="dxa"/>
                        <w:gridSpan w:val="2"/>
                        <w:vMerge w:val="restart"/>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metodyki szacowania wpływu outsourcingu usług na produktywność przedsiębiorstw w Polsce umożliwi skwantyfikowanie zależności występujących pomiędzy zakupem usług obcych a wzrostem produktywności przedsiębiorstw z nich korzystających. Wzrost efektywności funkcjonowania przedsiębiorstw jest wymieniany jako jeden z celów stosowania outsourcingu. Z kolei outsourcing usług przyczynia się do rozwoju tego sektora gospodarki narodowej. Wyniki pracy metodologicznej zostaną wykorzystane przy analizie rynku usług w Polsce.</w:t>
                        </w:r>
                      </w:p>
                    </w:tc>
                  </w:tr>
                </w:tbl>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Zakres prowadzonych prac</w:t>
                  </w:r>
                </w:p>
              </w:tc>
            </w:tr>
            <w:tr w:rsidR="00FF2341" w:rsidTr="00DB5202">
              <w:tc>
                <w:tcPr>
                  <w:tcW w:w="10205" w:type="dxa"/>
                  <w:tcMar>
                    <w:top w:w="0" w:type="dxa"/>
                    <w:left w:w="0" w:type="dxa"/>
                    <w:bottom w:w="0" w:type="dxa"/>
                    <w:right w:w="0" w:type="dxa"/>
                  </w:tcMar>
                </w:tcPr>
                <w:p w:rsidR="00FF2341" w:rsidRDefault="00FF2341" w:rsidP="00DB5202">
                  <w:pPr>
                    <w:numPr>
                      <w:ilvl w:val="0"/>
                      <w:numId w:val="7"/>
                    </w:numPr>
                    <w:ind w:left="426"/>
                    <w:jc w:val="both"/>
                    <w:rPr>
                      <w:rFonts w:ascii="Calibri" w:eastAsia="Calibri" w:hAnsi="Calibri" w:cs="Calibri"/>
                      <w:color w:val="000000"/>
                    </w:rPr>
                  </w:pPr>
                  <w:r>
                    <w:rPr>
                      <w:rFonts w:ascii="Calibri" w:eastAsia="Calibri" w:hAnsi="Calibri" w:cs="Calibri"/>
                      <w:color w:val="000000"/>
                    </w:rPr>
                    <w:t>Przegląd literatury przedmiotu i wybór narzędzi badawczych</w:t>
                  </w:r>
                </w:p>
                <w:p w:rsidR="00FF2341" w:rsidRDefault="00FF2341" w:rsidP="00DB5202">
                  <w:pPr>
                    <w:numPr>
                      <w:ilvl w:val="0"/>
                      <w:numId w:val="7"/>
                    </w:numPr>
                    <w:ind w:left="426"/>
                    <w:jc w:val="both"/>
                    <w:rPr>
                      <w:rFonts w:ascii="Calibri" w:eastAsia="Calibri" w:hAnsi="Calibri" w:cs="Calibri"/>
                      <w:color w:val="000000"/>
                    </w:rPr>
                  </w:pPr>
                  <w:r>
                    <w:rPr>
                      <w:rFonts w:ascii="Calibri" w:eastAsia="Calibri" w:hAnsi="Calibri" w:cs="Calibri"/>
                      <w:color w:val="000000"/>
                    </w:rPr>
                    <w:t>Oszacowanie produktywności przedsiębiorstw przy uwzględnieniu zasobów informacji dostępnych w statystyce publicznej</w:t>
                  </w:r>
                </w:p>
                <w:p w:rsidR="00FF2341" w:rsidRDefault="00FF2341" w:rsidP="00DB5202">
                  <w:pPr>
                    <w:numPr>
                      <w:ilvl w:val="0"/>
                      <w:numId w:val="7"/>
                    </w:numPr>
                    <w:ind w:left="426"/>
                    <w:jc w:val="both"/>
                    <w:rPr>
                      <w:rFonts w:ascii="Calibri" w:eastAsia="Calibri" w:hAnsi="Calibri" w:cs="Calibri"/>
                      <w:color w:val="000000"/>
                    </w:rPr>
                  </w:pPr>
                  <w:r>
                    <w:rPr>
                      <w:rFonts w:ascii="Calibri" w:eastAsia="Calibri" w:hAnsi="Calibri" w:cs="Calibri"/>
                      <w:color w:val="000000"/>
                    </w:rPr>
                    <w:t>Ustalenie zależności występujących pomiędzy zakupami usług obcych ogółem a produktywnością przedsiębiorstw z uwzględnieniem rodzaju prowadzonej działalności gospodarczej, wielkości przedsiębiorstw mierzonej liczbą pracujących oraz lokalizacji usługodawców (kraj/zagranica)</w:t>
                  </w:r>
                </w:p>
                <w:p w:rsidR="00FF2341" w:rsidRDefault="00FF2341" w:rsidP="00DB5202">
                  <w:pPr>
                    <w:numPr>
                      <w:ilvl w:val="0"/>
                      <w:numId w:val="7"/>
                    </w:numPr>
                    <w:ind w:left="426"/>
                    <w:jc w:val="both"/>
                    <w:rPr>
                      <w:rFonts w:ascii="Calibri" w:eastAsia="Calibri" w:hAnsi="Calibri" w:cs="Calibri"/>
                      <w:color w:val="000000"/>
                    </w:rPr>
                  </w:pPr>
                  <w:r>
                    <w:rPr>
                      <w:rFonts w:ascii="Calibri" w:eastAsia="Calibri" w:hAnsi="Calibri" w:cs="Calibri"/>
                      <w:color w:val="000000"/>
                    </w:rPr>
                    <w:t>Ocena wpływu zakupu usług związanych z obsługą działalności gospodarczej na produktywność z uwzględnieniem rodzaju nabywanych usług</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Terminy realizacji pracy</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rozpoczęcia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Styczeń 2019</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zakończenia pracy</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2019</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408"/>
                    <w:gridCol w:w="9797"/>
                  </w:tblGrid>
                  <w:tr w:rsidR="00FF2341" w:rsidTr="00DB5202">
                    <w:tc>
                      <w:tcPr>
                        <w:tcW w:w="408"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 xml:space="preserve">• </w:t>
                        </w:r>
                      </w:p>
                    </w:tc>
                    <w:tc>
                      <w:tcPr>
                        <w:tcW w:w="9797" w:type="dxa"/>
                        <w:tcMar>
                          <w:top w:w="0" w:type="dxa"/>
                          <w:left w:w="0" w:type="dxa"/>
                          <w:bottom w:w="0" w:type="dxa"/>
                          <w:right w:w="0" w:type="dxa"/>
                        </w:tcMar>
                      </w:tcPr>
                      <w:p w:rsidR="00FF2341" w:rsidRDefault="00FF2341" w:rsidP="00DB5202">
                        <w:pPr>
                          <w:jc w:val="both"/>
                        </w:pPr>
                        <w:r>
                          <w:rPr>
                            <w:rFonts w:ascii="Calibri" w:eastAsia="Calibri" w:hAnsi="Calibri" w:cs="Calibri"/>
                            <w:color w:val="000000"/>
                          </w:rPr>
                          <w:t>metodyka realizacji badania</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Termin i forma zastosowania w statystyce</w:t>
                  </w:r>
                </w:p>
              </w:tc>
            </w:tr>
            <w:tr w:rsidR="00FF2341" w:rsidTr="00DB5202">
              <w:tc>
                <w:tcPr>
                  <w:tcW w:w="10205" w:type="dxa"/>
                  <w:tcMar>
                    <w:top w:w="0" w:type="dxa"/>
                    <w:left w:w="0" w:type="dxa"/>
                    <w:bottom w:w="0" w:type="dxa"/>
                    <w:right w:w="0" w:type="dxa"/>
                  </w:tcMar>
                </w:tcPr>
                <w:p w:rsidR="00FF2341" w:rsidRDefault="00FF2341" w:rsidP="00DB5202">
                  <w:r>
                    <w:rPr>
                      <w:rFonts w:ascii="Calibri" w:eastAsia="Calibri" w:hAnsi="Calibri" w:cs="Calibri"/>
                      <w:color w:val="000000"/>
                    </w:rPr>
                    <w:t>Grudzień 2019</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Opracowanie eksperymentalne prezentujące wyniki oszacowania wpływu outsourcingu usług na produktywność przedsiębiorstw udostępnione na stronie GUS jako praca studialna.</w:t>
                  </w: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Źródła danych</w:t>
                  </w:r>
                </w:p>
              </w:tc>
            </w:tr>
          </w:tbl>
          <w:p w:rsidR="00FF2341" w:rsidRDefault="00FF2341" w:rsidP="00DB5202">
            <w:pPr>
              <w:spacing w:line="1" w:lineRule="auto"/>
            </w:pPr>
          </w:p>
        </w:tc>
      </w:tr>
    </w:tbl>
    <w:p w:rsidR="00FF2341" w:rsidRDefault="00FF2341" w:rsidP="00FF2341">
      <w:pPr>
        <w:sectPr w:rsidR="00FF2341">
          <w:headerReference w:type="default" r:id="rId29"/>
          <w:footerReference w:type="default" r:id="rId30"/>
          <w:pgSz w:w="11905" w:h="16837"/>
          <w:pgMar w:top="850" w:right="850" w:bottom="850" w:left="850" w:header="850" w:footer="850" w:gutter="0"/>
          <w:cols w:space="708"/>
        </w:sectPr>
      </w:pPr>
    </w:p>
    <w:p w:rsidR="00FF2341" w:rsidRDefault="00FF2341" w:rsidP="00FF2341">
      <w:pPr>
        <w:rPr>
          <w:vanish/>
        </w:rPr>
      </w:pPr>
    </w:p>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Istniejące źródła danych</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bookmarkStart w:id="18" w:name="__bookmark_67"/>
                              <w:bookmarkEnd w:id="18"/>
                              <w:r>
                                <w:rPr>
                                  <w:rFonts w:ascii="Calibri" w:eastAsia="Calibri" w:hAnsi="Calibri" w:cs="Calibri"/>
                                  <w:color w:val="000000"/>
                                </w:rPr>
                                <w:t>roczna ankieta przedsiębiorstwa</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sprawozdanie o zakupie usług</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sprawozdanie o cenach producentów usług transportu, gospodarki magazynowej i telekomunikacji</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sprawozdanie o cenach producentów usług</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sprawozdanie o cenach producentów usług związanych z zatrudnieniem</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sprawozdanie o wartości zużytych materiałów, energii i usług obcych oraz zapasów materiałów</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roczne sprawozdanie o międzynarodowej wymianie usług</w:t>
                              </w:r>
                            </w:p>
                          </w:tc>
                        </w:tr>
                        <w:tr w:rsidR="00FF2341" w:rsidTr="00DB5202">
                          <w:tc>
                            <w:tcPr>
                              <w:tcW w:w="10205" w:type="dxa"/>
                              <w:tcMar>
                                <w:top w:w="0" w:type="dxa"/>
                                <w:left w:w="0" w:type="dxa"/>
                                <w:bottom w:w="0" w:type="dxa"/>
                                <w:right w:w="0" w:type="dxa"/>
                              </w:tcMar>
                            </w:tcPr>
                            <w:p w:rsidR="00FF2341" w:rsidRDefault="00FF2341" w:rsidP="00DB5202">
                              <w:pPr>
                                <w:numPr>
                                  <w:ilvl w:val="0"/>
                                  <w:numId w:val="8"/>
                                </w:numPr>
                                <w:ind w:left="426"/>
                                <w:jc w:val="both"/>
                                <w:rPr>
                                  <w:rFonts w:ascii="Calibri" w:eastAsia="Calibri" w:hAnsi="Calibri" w:cs="Calibri"/>
                                  <w:color w:val="000000"/>
                                </w:rPr>
                              </w:pPr>
                              <w:r>
                                <w:rPr>
                                  <w:rFonts w:ascii="Calibri" w:eastAsia="Calibri" w:hAnsi="Calibri" w:cs="Calibri"/>
                                  <w:color w:val="000000"/>
                                </w:rPr>
                                <w:t>kwartalne sprawozdanie o międzynarodowej wymianie usług</w:t>
                              </w:r>
                            </w:p>
                          </w:tc>
                        </w:tr>
                      </w:tbl>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0" w:type="dxa"/>
                      </w:tcPr>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Okres referencyjny danych</w:t>
                        </w:r>
                      </w:p>
                    </w:tc>
                  </w:tr>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r>
                          <w:rPr>
                            <w:rFonts w:ascii="Calibri" w:eastAsia="Calibri" w:hAnsi="Calibri" w:cs="Calibri"/>
                            <w:color w:val="000000"/>
                          </w:rPr>
                          <w:t>2010-2015</w:t>
                        </w:r>
                      </w:p>
                    </w:tc>
                  </w:tr>
                </w:tbl>
                <w:p w:rsidR="00FF2341" w:rsidRDefault="00FF2341" w:rsidP="00DB5202">
                  <w:pPr>
                    <w:spacing w:line="1" w:lineRule="auto"/>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color w:val="000000"/>
                      <w:sz w:val="28"/>
                      <w:szCs w:val="28"/>
                    </w:rPr>
                  </w:pPr>
                  <w:r>
                    <w:rPr>
                      <w:rFonts w:ascii="Calibri" w:eastAsia="Calibri" w:hAnsi="Calibri" w:cs="Calibri"/>
                      <w:b/>
                      <w:bCs/>
                      <w:color w:val="000000"/>
                      <w:sz w:val="28"/>
                      <w:szCs w:val="28"/>
                    </w:rPr>
                    <w:t>Jednostki realizujące pracę</w:t>
                  </w: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color w:val="000000"/>
                    </w:rPr>
                  </w:pPr>
                </w:p>
              </w:tc>
            </w:tr>
            <w:tr w:rsidR="00FF2341" w:rsidTr="00DB5202">
              <w:tc>
                <w:tcPr>
                  <w:tcW w:w="10205" w:type="dxa"/>
                  <w:tcMar>
                    <w:top w:w="0" w:type="dxa"/>
                    <w:left w:w="0" w:type="dxa"/>
                    <w:bottom w:w="0" w:type="dxa"/>
                    <w:right w:w="0" w:type="dxa"/>
                  </w:tcMar>
                </w:tcPr>
                <w:p w:rsidR="00FF2341" w:rsidRDefault="00FF2341" w:rsidP="00DB5202">
                  <w:pPr>
                    <w:rPr>
                      <w:rFonts w:ascii="Calibri" w:eastAsia="Calibri" w:hAnsi="Calibri" w:cs="Calibri"/>
                      <w:b/>
                      <w:bCs/>
                      <w:i/>
                      <w:iCs/>
                      <w:color w:val="000000"/>
                      <w:sz w:val="24"/>
                      <w:szCs w:val="24"/>
                    </w:rPr>
                  </w:pPr>
                  <w:r>
                    <w:rPr>
                      <w:rFonts w:ascii="Calibri" w:eastAsia="Calibri" w:hAnsi="Calibri" w:cs="Calibri"/>
                      <w:b/>
                      <w:bCs/>
                      <w:i/>
                      <w:iCs/>
                      <w:color w:val="000000"/>
                      <w:sz w:val="24"/>
                      <w:szCs w:val="24"/>
                    </w:rPr>
                    <w:t>Jednostka autorska - wiodąca</w:t>
                  </w:r>
                </w:p>
              </w:tc>
            </w:tr>
            <w:tr w:rsidR="00FF2341" w:rsidTr="00DB5202">
              <w:tc>
                <w:tcPr>
                  <w:tcW w:w="10205" w:type="dxa"/>
                  <w:tcMar>
                    <w:top w:w="0" w:type="dxa"/>
                    <w:left w:w="0" w:type="dxa"/>
                    <w:bottom w:w="0" w:type="dxa"/>
                    <w:right w:w="0" w:type="dxa"/>
                  </w:tcMar>
                </w:tcPr>
                <w:tbl>
                  <w:tblPr>
                    <w:tblOverlap w:val="never"/>
                    <w:tblW w:w="10205" w:type="dxa"/>
                    <w:tblLayout w:type="fixed"/>
                    <w:tblLook w:val="01E0" w:firstRow="1" w:lastRow="1" w:firstColumn="1" w:lastColumn="1" w:noHBand="0" w:noVBand="0"/>
                  </w:tblPr>
                  <w:tblGrid>
                    <w:gridCol w:w="10205"/>
                  </w:tblGrid>
                  <w:tr w:rsidR="00FF2341" w:rsidTr="00DB5202">
                    <w:tc>
                      <w:tcPr>
                        <w:tcW w:w="10205" w:type="dxa"/>
                        <w:tcMar>
                          <w:top w:w="0" w:type="dxa"/>
                          <w:left w:w="0" w:type="dxa"/>
                          <w:bottom w:w="0" w:type="dxa"/>
                          <w:right w:w="0" w:type="dxa"/>
                        </w:tcMar>
                      </w:tcPr>
                      <w:p w:rsidR="00FF2341" w:rsidRDefault="00FF2341" w:rsidP="00DB5202">
                        <w:pPr>
                          <w:jc w:val="both"/>
                          <w:rPr>
                            <w:rFonts w:ascii="Calibri" w:eastAsia="Calibri" w:hAnsi="Calibri" w:cs="Calibri"/>
                            <w:color w:val="000000"/>
                          </w:rPr>
                        </w:pPr>
                        <w:bookmarkStart w:id="19" w:name="__bookmark_70"/>
                        <w:bookmarkEnd w:id="19"/>
                        <w:r>
                          <w:rPr>
                            <w:rFonts w:ascii="Calibri" w:eastAsia="Calibri" w:hAnsi="Calibri" w:cs="Calibri"/>
                            <w:color w:val="000000"/>
                          </w:rPr>
                          <w:t>GUS - Departament Handlu i Usług</w:t>
                        </w:r>
                      </w:p>
                    </w:tc>
                  </w:tr>
                </w:tbl>
                <w:p w:rsidR="00FF2341" w:rsidRDefault="00FF2341" w:rsidP="00DB5202">
                  <w:pPr>
                    <w:spacing w:line="1" w:lineRule="auto"/>
                  </w:pPr>
                </w:p>
              </w:tc>
            </w:tr>
          </w:tbl>
          <w:p w:rsidR="00FF2341" w:rsidRDefault="00FF2341" w:rsidP="00DB5202">
            <w:pPr>
              <w:spacing w:line="1" w:lineRule="auto"/>
            </w:pPr>
          </w:p>
        </w:tc>
      </w:tr>
    </w:tbl>
    <w:p w:rsidR="00FF2341" w:rsidRDefault="00FF2341" w:rsidP="00FF2341"/>
    <w:p w:rsidR="00FF2341" w:rsidRDefault="00FF2341" w:rsidP="00FF2341"/>
    <w:p w:rsidR="000C2E52" w:rsidRDefault="000C2E52"/>
    <w:sectPr w:rsidR="000C2E52" w:rsidSect="00FE350C">
      <w:headerReference w:type="default" r:id="rId31"/>
      <w:footerReference w:type="default" r:id="rId32"/>
      <w:pgSz w:w="11905" w:h="16837"/>
      <w:pgMar w:top="850" w:right="850" w:bottom="850" w:left="850" w:header="850"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FE350C">
      <w:trPr>
        <w:trHeight w:val="720"/>
      </w:trPr>
      <w:tc>
        <w:tcPr>
          <w:tcW w:w="11735" w:type="dxa"/>
        </w:tcPr>
        <w:p w:rsidR="00FE350C" w:rsidRDefault="00FF2341" w:rsidP="00FE350C"/>
        <w:tbl>
          <w:tblPr>
            <w:tblW w:w="11520" w:type="dxa"/>
            <w:tblLayout w:type="fixed"/>
            <w:tblCellMar>
              <w:left w:w="0" w:type="dxa"/>
              <w:right w:w="0" w:type="dxa"/>
            </w:tblCellMar>
            <w:tblLook w:val="01E0" w:firstRow="1" w:lastRow="1" w:firstColumn="1" w:lastColumn="1" w:noHBand="0" w:noVBand="0"/>
          </w:tblPr>
          <w:tblGrid>
            <w:gridCol w:w="11520"/>
          </w:tblGrid>
          <w:tr w:rsidR="00FE350C">
            <w:tc>
              <w:tcPr>
                <w:tcW w:w="11520" w:type="dxa"/>
                <w:tcMar>
                  <w:top w:w="0" w:type="dxa"/>
                  <w:left w:w="0" w:type="dxa"/>
                  <w:bottom w:w="0" w:type="dxa"/>
                  <w:right w:w="0" w:type="dxa"/>
                </w:tcMar>
              </w:tcPr>
              <w:p w:rsidR="00FE350C" w:rsidRDefault="00FF2341" w:rsidP="00FE350C"/>
              <w:p w:rsidR="00FE350C" w:rsidRDefault="00FF2341" w:rsidP="00FE350C"/>
            </w:tc>
          </w:tr>
        </w:tbl>
        <w:p w:rsidR="00FE350C" w:rsidRDefault="00FF2341" w:rsidP="00FE350C"/>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FE350C">
      <w:trPr>
        <w:trHeight w:val="720"/>
      </w:trPr>
      <w:tc>
        <w:tcPr>
          <w:tcW w:w="11735" w:type="dxa"/>
        </w:tcPr>
        <w:p w:rsidR="00FE350C" w:rsidRDefault="00FF2341" w:rsidP="00FE350C"/>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Layout w:type="fixed"/>
      <w:tblLook w:val="01E0" w:firstRow="1" w:lastRow="1" w:firstColumn="1" w:lastColumn="1" w:noHBand="0" w:noVBand="0"/>
    </w:tblPr>
    <w:tblGrid>
      <w:gridCol w:w="10420"/>
    </w:tblGrid>
    <w:tr w:rsidR="00FE350C">
      <w:trPr>
        <w:trHeight w:val="566"/>
      </w:trPr>
      <w:tc>
        <w:tcPr>
          <w:tcW w:w="10420" w:type="dxa"/>
        </w:tcPr>
        <w:p w:rsidR="00FE350C" w:rsidRDefault="00FF234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44F1"/>
    <w:multiLevelType w:val="hybridMultilevel"/>
    <w:tmpl w:val="079C5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3E21D8"/>
    <w:multiLevelType w:val="hybridMultilevel"/>
    <w:tmpl w:val="15E4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97C4D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723B78"/>
    <w:multiLevelType w:val="hybridMultilevel"/>
    <w:tmpl w:val="3FFAEBE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EC65582"/>
    <w:multiLevelType w:val="hybridMultilevel"/>
    <w:tmpl w:val="40B2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D509D8"/>
    <w:multiLevelType w:val="hybridMultilevel"/>
    <w:tmpl w:val="90EC3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6A524C"/>
    <w:multiLevelType w:val="hybridMultilevel"/>
    <w:tmpl w:val="9E828834"/>
    <w:lvl w:ilvl="0" w:tplc="75165B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6B0C7A"/>
    <w:multiLevelType w:val="hybridMultilevel"/>
    <w:tmpl w:val="B84A6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41"/>
    <w:rsid w:val="000C2E52"/>
    <w:rsid w:val="00FF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A8BA-1E09-4A37-8640-689BAACD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34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rsid w:val="00FF2341"/>
    <w:pPr>
      <w:spacing w:after="0" w:line="240" w:lineRule="auto"/>
    </w:pPr>
    <w:rPr>
      <w:rFonts w:ascii="Times New Roman" w:eastAsia="Times New Roman" w:hAnsi="Times New Roman" w:cs="Times New Roman"/>
      <w:sz w:val="20"/>
      <w:szCs w:val="20"/>
      <w:lang w:eastAsia="pl-PL"/>
    </w:rPr>
  </w:style>
  <w:style w:type="character" w:styleId="Hipercze">
    <w:name w:val="Hyperlink"/>
    <w:rsid w:val="00FF2341"/>
    <w:rPr>
      <w:color w:val="0000FF"/>
      <w:u w:val="single"/>
    </w:rPr>
  </w:style>
  <w:style w:type="paragraph" w:styleId="Tekstdymka">
    <w:name w:val="Balloon Text"/>
    <w:basedOn w:val="Normalny"/>
    <w:link w:val="TekstdymkaZnak"/>
    <w:rsid w:val="00FF2341"/>
    <w:rPr>
      <w:rFonts w:ascii="Segoe UI" w:hAnsi="Segoe UI" w:cs="Segoe UI"/>
      <w:sz w:val="18"/>
      <w:szCs w:val="18"/>
    </w:rPr>
  </w:style>
  <w:style w:type="character" w:customStyle="1" w:styleId="TekstdymkaZnak">
    <w:name w:val="Tekst dymka Znak"/>
    <w:basedOn w:val="Domylnaczcionkaakapitu"/>
    <w:link w:val="Tekstdymka"/>
    <w:rsid w:val="00FF2341"/>
    <w:rPr>
      <w:rFonts w:ascii="Segoe UI" w:eastAsia="Times New Roman" w:hAnsi="Segoe UI" w:cs="Segoe UI"/>
      <w:sz w:val="18"/>
      <w:szCs w:val="18"/>
      <w:lang w:eastAsia="pl-PL"/>
    </w:rPr>
  </w:style>
  <w:style w:type="paragraph" w:styleId="Akapitzlist">
    <w:name w:val="List Paragraph"/>
    <w:basedOn w:val="Normalny"/>
    <w:qFormat/>
    <w:rsid w:val="00FF2341"/>
    <w:pPr>
      <w:ind w:left="720"/>
      <w:contextualSpacing/>
    </w:pPr>
    <w:rPr>
      <w:rFonts w:eastAsia="Arial"/>
      <w:i/>
      <w:color w:val="000000"/>
      <w:sz w:val="36"/>
      <w:szCs w:val="36"/>
      <w:lang w:eastAsia="zh-CN"/>
    </w:rPr>
  </w:style>
  <w:style w:type="paragraph" w:styleId="Tekstkomentarza">
    <w:name w:val="annotation text"/>
    <w:basedOn w:val="Normalny"/>
    <w:link w:val="TekstkomentarzaZnak"/>
    <w:rsid w:val="00FF2341"/>
    <w:pPr>
      <w:widowControl w:val="0"/>
      <w:jc w:val="both"/>
    </w:pPr>
    <w:rPr>
      <w:rFonts w:ascii="Arial" w:eastAsia="Arial" w:hAnsi="Arial" w:cs="Arial"/>
      <w:i/>
      <w:color w:val="000000"/>
      <w:sz w:val="36"/>
      <w:szCs w:val="36"/>
    </w:rPr>
  </w:style>
  <w:style w:type="character" w:customStyle="1" w:styleId="TekstkomentarzaZnak">
    <w:name w:val="Tekst komentarza Znak"/>
    <w:basedOn w:val="Domylnaczcionkaakapitu"/>
    <w:link w:val="Tekstkomentarza"/>
    <w:rsid w:val="00FF2341"/>
    <w:rPr>
      <w:rFonts w:ascii="Arial" w:eastAsia="Arial" w:hAnsi="Arial" w:cs="Arial"/>
      <w:i/>
      <w:color w:val="000000"/>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image" Target="cid:image001.png@01D4865C.6E94B660"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4078</Words>
  <Characters>24474</Characters>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prac metodologicznych na 2019 r. (listopad 2018 r.)</dc:title>
  <dc:subject/>
  <dc:creator>Główny Urząd Statystyczny</dc:creator>
  <cp:keywords/>
  <dc:description/>
  <dcterms:created xsi:type="dcterms:W3CDTF">2018-12-05T08:43:00Z</dcterms:created>
  <dcterms:modified xsi:type="dcterms:W3CDTF">2018-12-05T08:45:00Z</dcterms:modified>
</cp:coreProperties>
</file>